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11CE" w:rsidRPr="00FE11CE" w:rsidRDefault="00FE11CE" w:rsidP="00FE11CE">
      <w:pPr>
        <w:spacing w:after="0" w:line="240" w:lineRule="auto"/>
        <w:rPr>
          <w:rFonts w:eastAsia="Times New Roman" w:cstheme="minorHAnsi"/>
          <w:b/>
          <w:bCs/>
          <w:lang w:eastAsia="it-IT"/>
        </w:rPr>
      </w:pPr>
      <w:r w:rsidRPr="00FE11CE">
        <w:rPr>
          <w:rFonts w:eastAsia="Times New Roman" w:cstheme="minorHAnsi"/>
          <w:b/>
          <w:bCs/>
          <w:lang w:eastAsia="it-IT"/>
        </w:rPr>
        <w:t>Cass. civ. Sez. V, Sent., (ud. 27-05-2019) 28-06-2019, n. 17526</w:t>
      </w:r>
    </w:p>
    <w:p w:rsidR="00FE11CE" w:rsidRPr="00FE11CE" w:rsidRDefault="00FE11CE" w:rsidP="00FE11CE">
      <w:pPr>
        <w:spacing w:before="195" w:after="195" w:line="240" w:lineRule="auto"/>
        <w:jc w:val="center"/>
        <w:rPr>
          <w:rFonts w:eastAsia="Times New Roman" w:cstheme="minorHAnsi"/>
          <w:lang w:eastAsia="it-IT"/>
        </w:rPr>
      </w:pPr>
      <w:r w:rsidRPr="00FE11CE">
        <w:rPr>
          <w:rFonts w:eastAsia="Times New Roman" w:cstheme="minorHAnsi"/>
          <w:lang w:eastAsia="it-IT"/>
        </w:rPr>
        <w:t>REPUBBLICA ITALIANA</w:t>
      </w:r>
    </w:p>
    <w:p w:rsidR="00FE11CE" w:rsidRPr="00FE11CE" w:rsidRDefault="00FE11CE" w:rsidP="00FE11CE">
      <w:pPr>
        <w:spacing w:before="195" w:after="195" w:line="240" w:lineRule="auto"/>
        <w:jc w:val="center"/>
        <w:rPr>
          <w:rFonts w:eastAsia="Times New Roman" w:cstheme="minorHAnsi"/>
          <w:lang w:eastAsia="it-IT"/>
        </w:rPr>
      </w:pPr>
      <w:r w:rsidRPr="00FE11CE">
        <w:rPr>
          <w:rFonts w:eastAsia="Times New Roman" w:cstheme="minorHAnsi"/>
          <w:lang w:eastAsia="it-IT"/>
        </w:rPr>
        <w:t>IN NOME DEL POPOLO ITALIANO</w:t>
      </w:r>
    </w:p>
    <w:p w:rsidR="00FE11CE" w:rsidRPr="00FE11CE" w:rsidRDefault="00FE11CE" w:rsidP="00FE11CE">
      <w:pPr>
        <w:spacing w:before="195" w:after="195" w:line="240" w:lineRule="auto"/>
        <w:jc w:val="center"/>
        <w:rPr>
          <w:rFonts w:eastAsia="Times New Roman" w:cstheme="minorHAnsi"/>
          <w:lang w:eastAsia="it-IT"/>
        </w:rPr>
      </w:pPr>
      <w:r w:rsidRPr="00FE11CE">
        <w:rPr>
          <w:rFonts w:eastAsia="Times New Roman" w:cstheme="minorHAnsi"/>
          <w:lang w:eastAsia="it-IT"/>
        </w:rPr>
        <w:t>LA CORTE SUPREMA DI CASSAZIONE</w:t>
      </w:r>
    </w:p>
    <w:p w:rsidR="00FE11CE" w:rsidRPr="00FE11CE" w:rsidRDefault="00FE11CE" w:rsidP="00FE11CE">
      <w:pPr>
        <w:spacing w:before="195" w:after="195" w:line="240" w:lineRule="auto"/>
        <w:jc w:val="center"/>
        <w:rPr>
          <w:rFonts w:eastAsia="Times New Roman" w:cstheme="minorHAnsi"/>
          <w:lang w:eastAsia="it-IT"/>
        </w:rPr>
      </w:pPr>
      <w:r w:rsidRPr="00FE11CE">
        <w:rPr>
          <w:rFonts w:eastAsia="Times New Roman" w:cstheme="minorHAnsi"/>
          <w:lang w:eastAsia="it-IT"/>
        </w:rPr>
        <w:t xml:space="preserve">SEZIONE TRIBUTARIA </w:t>
      </w:r>
    </w:p>
    <w:p w:rsidR="00FE11CE" w:rsidRPr="00FE11CE" w:rsidRDefault="00FE11CE" w:rsidP="00FE11CE">
      <w:pPr>
        <w:spacing w:before="195" w:after="195" w:line="240" w:lineRule="auto"/>
        <w:jc w:val="both"/>
        <w:rPr>
          <w:rFonts w:eastAsia="Times New Roman" w:cstheme="minorHAnsi"/>
          <w:lang w:eastAsia="it-IT"/>
        </w:rPr>
      </w:pPr>
      <w:r w:rsidRPr="00FE11CE">
        <w:rPr>
          <w:rFonts w:eastAsia="Times New Roman" w:cstheme="minorHAnsi"/>
          <w:lang w:eastAsia="it-IT"/>
        </w:rPr>
        <w:t xml:space="preserve">Composta dagli Ill.mi </w:t>
      </w:r>
      <w:proofErr w:type="spellStart"/>
      <w:r w:rsidRPr="00FE11CE">
        <w:rPr>
          <w:rFonts w:eastAsia="Times New Roman" w:cstheme="minorHAnsi"/>
          <w:lang w:eastAsia="it-IT"/>
        </w:rPr>
        <w:t>Sigg.ri</w:t>
      </w:r>
      <w:proofErr w:type="spellEnd"/>
      <w:r w:rsidRPr="00FE11CE">
        <w:rPr>
          <w:rFonts w:eastAsia="Times New Roman" w:cstheme="minorHAnsi"/>
          <w:lang w:eastAsia="it-IT"/>
        </w:rPr>
        <w:t xml:space="preserve"> Magistrati:</w:t>
      </w:r>
    </w:p>
    <w:p w:rsidR="00FE11CE" w:rsidRPr="00FE11CE" w:rsidRDefault="00FE11CE" w:rsidP="00FE11CE">
      <w:pPr>
        <w:spacing w:before="195" w:after="195" w:line="240" w:lineRule="auto"/>
        <w:jc w:val="both"/>
        <w:rPr>
          <w:rFonts w:eastAsia="Times New Roman" w:cstheme="minorHAnsi"/>
          <w:lang w:eastAsia="it-IT"/>
        </w:rPr>
      </w:pPr>
      <w:r w:rsidRPr="00FE11CE">
        <w:rPr>
          <w:rFonts w:eastAsia="Times New Roman" w:cstheme="minorHAnsi"/>
          <w:lang w:eastAsia="it-IT"/>
        </w:rPr>
        <w:t>Dott. CIRILLO Ettore - Presidente -</w:t>
      </w:r>
    </w:p>
    <w:p w:rsidR="00FE11CE" w:rsidRPr="00FE11CE" w:rsidRDefault="00FE11CE" w:rsidP="00FE11CE">
      <w:pPr>
        <w:spacing w:before="195" w:after="195" w:line="240" w:lineRule="auto"/>
        <w:jc w:val="both"/>
        <w:rPr>
          <w:rFonts w:eastAsia="Times New Roman" w:cstheme="minorHAnsi"/>
          <w:lang w:eastAsia="it-IT"/>
        </w:rPr>
      </w:pPr>
      <w:r w:rsidRPr="00FE11CE">
        <w:rPr>
          <w:rFonts w:eastAsia="Times New Roman" w:cstheme="minorHAnsi"/>
          <w:lang w:eastAsia="it-IT"/>
        </w:rPr>
        <w:t>Dott. NAPOLITANO Lucio - Consigliere -</w:t>
      </w:r>
    </w:p>
    <w:p w:rsidR="00FE11CE" w:rsidRPr="00FE11CE" w:rsidRDefault="00FE11CE" w:rsidP="00FE11CE">
      <w:pPr>
        <w:spacing w:before="195" w:after="195" w:line="240" w:lineRule="auto"/>
        <w:jc w:val="both"/>
        <w:rPr>
          <w:rFonts w:eastAsia="Times New Roman" w:cstheme="minorHAnsi"/>
          <w:lang w:eastAsia="it-IT"/>
        </w:rPr>
      </w:pPr>
      <w:r w:rsidRPr="00FE11CE">
        <w:rPr>
          <w:rFonts w:eastAsia="Times New Roman" w:cstheme="minorHAnsi"/>
          <w:lang w:eastAsia="it-IT"/>
        </w:rPr>
        <w:t>Dott. D’ANGIOLELLA Rosita - Consigliere -</w:t>
      </w:r>
    </w:p>
    <w:p w:rsidR="00FE11CE" w:rsidRPr="00FE11CE" w:rsidRDefault="00FE11CE" w:rsidP="00FE11CE">
      <w:pPr>
        <w:spacing w:before="195" w:after="195" w:line="240" w:lineRule="auto"/>
        <w:jc w:val="both"/>
        <w:rPr>
          <w:rFonts w:eastAsia="Times New Roman" w:cstheme="minorHAnsi"/>
          <w:lang w:eastAsia="it-IT"/>
        </w:rPr>
      </w:pPr>
      <w:r w:rsidRPr="00FE11CE">
        <w:rPr>
          <w:rFonts w:eastAsia="Times New Roman" w:cstheme="minorHAnsi"/>
          <w:lang w:eastAsia="it-IT"/>
        </w:rPr>
        <w:t>Dott. CATALDI Michele - Consigliere -</w:t>
      </w:r>
    </w:p>
    <w:p w:rsidR="00FE11CE" w:rsidRPr="00FE11CE" w:rsidRDefault="00FE11CE" w:rsidP="00FE11CE">
      <w:pPr>
        <w:spacing w:before="195" w:after="195" w:line="240" w:lineRule="auto"/>
        <w:jc w:val="both"/>
        <w:rPr>
          <w:rFonts w:eastAsia="Times New Roman" w:cstheme="minorHAnsi"/>
          <w:lang w:eastAsia="it-IT"/>
        </w:rPr>
      </w:pPr>
      <w:r w:rsidRPr="00FE11CE">
        <w:rPr>
          <w:rFonts w:eastAsia="Times New Roman" w:cstheme="minorHAnsi"/>
          <w:lang w:eastAsia="it-IT"/>
        </w:rPr>
        <w:t xml:space="preserve">Dott. SAIEVA Giuseppe - </w:t>
      </w:r>
      <w:proofErr w:type="spellStart"/>
      <w:r w:rsidRPr="00FE11CE">
        <w:rPr>
          <w:rFonts w:eastAsia="Times New Roman" w:cstheme="minorHAnsi"/>
          <w:lang w:eastAsia="it-IT"/>
        </w:rPr>
        <w:t>rel</w:t>
      </w:r>
      <w:proofErr w:type="spellEnd"/>
      <w:r w:rsidRPr="00FE11CE">
        <w:rPr>
          <w:rFonts w:eastAsia="Times New Roman" w:cstheme="minorHAnsi"/>
          <w:lang w:eastAsia="it-IT"/>
        </w:rPr>
        <w:t>. Consigliere -</w:t>
      </w:r>
    </w:p>
    <w:p w:rsidR="00FE11CE" w:rsidRPr="00FE11CE" w:rsidRDefault="00FE11CE" w:rsidP="00FE11CE">
      <w:pPr>
        <w:spacing w:before="195" w:after="195" w:line="240" w:lineRule="auto"/>
        <w:jc w:val="both"/>
        <w:rPr>
          <w:rFonts w:eastAsia="Times New Roman" w:cstheme="minorHAnsi"/>
          <w:lang w:eastAsia="it-IT"/>
        </w:rPr>
      </w:pPr>
      <w:r w:rsidRPr="00FE11CE">
        <w:rPr>
          <w:rFonts w:eastAsia="Times New Roman" w:cstheme="minorHAnsi"/>
          <w:lang w:eastAsia="it-IT"/>
        </w:rPr>
        <w:t>ha pronunciato la seguente:</w:t>
      </w:r>
    </w:p>
    <w:p w:rsidR="00FE11CE" w:rsidRPr="00FE11CE" w:rsidRDefault="00FE11CE" w:rsidP="00FE11CE">
      <w:pPr>
        <w:spacing w:before="195" w:after="195" w:line="240" w:lineRule="auto"/>
        <w:jc w:val="center"/>
        <w:rPr>
          <w:rFonts w:eastAsia="Times New Roman" w:cstheme="minorHAnsi"/>
          <w:lang w:eastAsia="it-IT"/>
        </w:rPr>
      </w:pPr>
      <w:r w:rsidRPr="00FE11CE">
        <w:rPr>
          <w:rFonts w:eastAsia="Times New Roman" w:cstheme="minorHAnsi"/>
          <w:lang w:eastAsia="it-IT"/>
        </w:rPr>
        <w:t>SENTENZA</w:t>
      </w:r>
    </w:p>
    <w:p w:rsidR="00FE11CE" w:rsidRPr="00FE11CE" w:rsidRDefault="00FE11CE" w:rsidP="00FE11CE">
      <w:pPr>
        <w:spacing w:before="195" w:after="195" w:line="240" w:lineRule="auto"/>
        <w:jc w:val="both"/>
        <w:rPr>
          <w:rFonts w:eastAsia="Times New Roman" w:cstheme="minorHAnsi"/>
          <w:lang w:eastAsia="it-IT"/>
        </w:rPr>
      </w:pPr>
      <w:r w:rsidRPr="00FE11CE">
        <w:rPr>
          <w:rFonts w:eastAsia="Times New Roman" w:cstheme="minorHAnsi"/>
          <w:lang w:eastAsia="it-IT"/>
        </w:rPr>
        <w:t>sul ricorso iscritto al n. 21753/2013 R.G. proposto da:</w:t>
      </w:r>
    </w:p>
    <w:p w:rsidR="00FE11CE" w:rsidRPr="00FE11CE" w:rsidRDefault="00FE11CE" w:rsidP="00FE11CE">
      <w:pPr>
        <w:spacing w:before="195" w:after="195" w:line="240" w:lineRule="auto"/>
        <w:jc w:val="both"/>
        <w:rPr>
          <w:rFonts w:eastAsia="Times New Roman" w:cstheme="minorHAnsi"/>
          <w:lang w:eastAsia="it-IT"/>
        </w:rPr>
      </w:pPr>
      <w:r w:rsidRPr="00FE11CE">
        <w:rPr>
          <w:rFonts w:eastAsia="Times New Roman" w:cstheme="minorHAnsi"/>
          <w:lang w:eastAsia="it-IT"/>
        </w:rPr>
        <w:t xml:space="preserve">S.V. COSTRUZIONI S.r.l. in liquidazione, rappresentata e difesa dall'avv. Alessandro </w:t>
      </w:r>
      <w:proofErr w:type="spellStart"/>
      <w:r w:rsidRPr="00FE11CE">
        <w:rPr>
          <w:rFonts w:eastAsia="Times New Roman" w:cstheme="minorHAnsi"/>
          <w:lang w:eastAsia="it-IT"/>
        </w:rPr>
        <w:t>Lipani</w:t>
      </w:r>
      <w:proofErr w:type="spellEnd"/>
      <w:r w:rsidRPr="00FE11CE">
        <w:rPr>
          <w:rFonts w:eastAsia="Times New Roman" w:cstheme="minorHAnsi"/>
          <w:lang w:eastAsia="it-IT"/>
        </w:rPr>
        <w:t xml:space="preserve"> del foro di Napoli, elettivamente domiciliato a Roma, in Via Due Macelli n. 66, presso l'avv. Francesco Cerasi;</w:t>
      </w:r>
    </w:p>
    <w:p w:rsidR="00FE11CE" w:rsidRPr="00FE11CE" w:rsidRDefault="00FE11CE" w:rsidP="00FE11CE">
      <w:pPr>
        <w:spacing w:before="195" w:after="195" w:line="240" w:lineRule="auto"/>
        <w:jc w:val="both"/>
        <w:rPr>
          <w:rFonts w:eastAsia="Times New Roman" w:cstheme="minorHAnsi"/>
          <w:lang w:eastAsia="it-IT"/>
        </w:rPr>
      </w:pPr>
      <w:r w:rsidRPr="00FE11CE">
        <w:rPr>
          <w:rFonts w:eastAsia="Times New Roman" w:cstheme="minorHAnsi"/>
          <w:lang w:eastAsia="it-IT"/>
        </w:rPr>
        <w:t>- ricorrente -</w:t>
      </w:r>
    </w:p>
    <w:p w:rsidR="00FE11CE" w:rsidRPr="00FE11CE" w:rsidRDefault="00FE11CE" w:rsidP="00FE11CE">
      <w:pPr>
        <w:spacing w:before="195" w:after="195" w:line="240" w:lineRule="auto"/>
        <w:jc w:val="center"/>
        <w:rPr>
          <w:rFonts w:eastAsia="Times New Roman" w:cstheme="minorHAnsi"/>
          <w:lang w:eastAsia="it-IT"/>
        </w:rPr>
      </w:pPr>
      <w:r w:rsidRPr="00FE11CE">
        <w:rPr>
          <w:rFonts w:eastAsia="Times New Roman" w:cstheme="minorHAnsi"/>
          <w:lang w:eastAsia="it-IT"/>
        </w:rPr>
        <w:t>contro</w:t>
      </w:r>
    </w:p>
    <w:p w:rsidR="00FE11CE" w:rsidRPr="00FE11CE" w:rsidRDefault="00FE11CE" w:rsidP="00FE11CE">
      <w:pPr>
        <w:spacing w:before="195" w:after="195" w:line="240" w:lineRule="auto"/>
        <w:jc w:val="both"/>
        <w:rPr>
          <w:rFonts w:eastAsia="Times New Roman" w:cstheme="minorHAnsi"/>
          <w:lang w:eastAsia="it-IT"/>
        </w:rPr>
      </w:pPr>
      <w:r w:rsidRPr="00FE11CE">
        <w:rPr>
          <w:rFonts w:eastAsia="Times New Roman" w:cstheme="minorHAnsi"/>
          <w:lang w:eastAsia="it-IT"/>
        </w:rPr>
        <w:t xml:space="preserve">AGENZIA DELLE ENTRATE, in persona del Direttore pro tempore, rappresentata e difesa dall'Avvocatura Generale dello Stato, domiciliata </w:t>
      </w:r>
      <w:proofErr w:type="spellStart"/>
      <w:r w:rsidRPr="00FE11CE">
        <w:rPr>
          <w:rFonts w:eastAsia="Times New Roman" w:cstheme="minorHAnsi"/>
          <w:lang w:eastAsia="it-IT"/>
        </w:rPr>
        <w:t>ope</w:t>
      </w:r>
      <w:proofErr w:type="spellEnd"/>
      <w:r w:rsidRPr="00FE11CE">
        <w:rPr>
          <w:rFonts w:eastAsia="Times New Roman" w:cstheme="minorHAnsi"/>
          <w:lang w:eastAsia="it-IT"/>
        </w:rPr>
        <w:t xml:space="preserve"> legis a Roma, in Via dei Portoghesi, n. 12;</w:t>
      </w:r>
    </w:p>
    <w:p w:rsidR="00FE11CE" w:rsidRPr="00FE11CE" w:rsidRDefault="00FE11CE" w:rsidP="00FE11CE">
      <w:pPr>
        <w:spacing w:before="195" w:after="195" w:line="240" w:lineRule="auto"/>
        <w:jc w:val="both"/>
        <w:rPr>
          <w:rFonts w:eastAsia="Times New Roman" w:cstheme="minorHAnsi"/>
          <w:lang w:eastAsia="it-IT"/>
        </w:rPr>
      </w:pPr>
      <w:r w:rsidRPr="00FE11CE">
        <w:rPr>
          <w:rFonts w:eastAsia="Times New Roman" w:cstheme="minorHAnsi"/>
          <w:lang w:eastAsia="it-IT"/>
        </w:rPr>
        <w:t>- controricorrente -</w:t>
      </w:r>
    </w:p>
    <w:p w:rsidR="00FE11CE" w:rsidRPr="00FE11CE" w:rsidRDefault="00FE11CE" w:rsidP="00FE11CE">
      <w:pPr>
        <w:spacing w:before="195" w:after="195" w:line="240" w:lineRule="auto"/>
        <w:jc w:val="both"/>
        <w:rPr>
          <w:rFonts w:eastAsia="Times New Roman" w:cstheme="minorHAnsi"/>
          <w:lang w:eastAsia="it-IT"/>
        </w:rPr>
      </w:pPr>
      <w:r w:rsidRPr="00FE11CE">
        <w:rPr>
          <w:rFonts w:eastAsia="Times New Roman" w:cstheme="minorHAnsi"/>
          <w:lang w:eastAsia="it-IT"/>
        </w:rPr>
        <w:t>AGENZIA DELLE ENTRATE, Direzione Provinciale di Napoli.</w:t>
      </w:r>
    </w:p>
    <w:p w:rsidR="00FE11CE" w:rsidRPr="00FE11CE" w:rsidRDefault="00FE11CE" w:rsidP="00FE11CE">
      <w:pPr>
        <w:spacing w:before="195" w:after="195" w:line="240" w:lineRule="auto"/>
        <w:jc w:val="both"/>
        <w:rPr>
          <w:rFonts w:eastAsia="Times New Roman" w:cstheme="minorHAnsi"/>
          <w:lang w:eastAsia="it-IT"/>
        </w:rPr>
      </w:pPr>
      <w:r w:rsidRPr="00FE11CE">
        <w:rPr>
          <w:rFonts w:eastAsia="Times New Roman" w:cstheme="minorHAnsi"/>
          <w:lang w:eastAsia="it-IT"/>
        </w:rPr>
        <w:t>- intimata -</w:t>
      </w:r>
    </w:p>
    <w:p w:rsidR="00FE11CE" w:rsidRPr="00FE11CE" w:rsidRDefault="00FE11CE" w:rsidP="00CF3B0F">
      <w:pPr>
        <w:spacing w:before="195" w:after="195" w:line="240" w:lineRule="auto"/>
        <w:jc w:val="both"/>
        <w:rPr>
          <w:rFonts w:eastAsia="Times New Roman" w:cstheme="minorHAnsi"/>
          <w:lang w:eastAsia="it-IT"/>
        </w:rPr>
      </w:pPr>
      <w:r w:rsidRPr="00FE11CE">
        <w:rPr>
          <w:rFonts w:eastAsia="Times New Roman" w:cstheme="minorHAnsi"/>
          <w:lang w:eastAsia="it-IT"/>
        </w:rPr>
        <w:t>avverso la sentenza della Commissione Tributaria regionale della Campania n. 40/28/13 pronunciata il 24.9.2012 e depositata l'11.2.2013;</w:t>
      </w:r>
    </w:p>
    <w:p w:rsidR="00FE11CE" w:rsidRPr="00FE11CE" w:rsidRDefault="00FE11CE" w:rsidP="00CF3B0F">
      <w:pPr>
        <w:spacing w:before="195" w:after="195" w:line="240" w:lineRule="auto"/>
        <w:jc w:val="both"/>
        <w:rPr>
          <w:rFonts w:eastAsia="Times New Roman" w:cstheme="minorHAnsi"/>
          <w:lang w:eastAsia="it-IT"/>
        </w:rPr>
      </w:pPr>
      <w:r w:rsidRPr="00FE11CE">
        <w:rPr>
          <w:rFonts w:eastAsia="Times New Roman" w:cstheme="minorHAnsi"/>
          <w:lang w:eastAsia="it-IT"/>
        </w:rPr>
        <w:t xml:space="preserve">Udita la relazione svolta nella pubblica udienza del 27.5.2019 dal Consigliere Dott. </w:t>
      </w:r>
      <w:proofErr w:type="spellStart"/>
      <w:r w:rsidRPr="00FE11CE">
        <w:rPr>
          <w:rFonts w:eastAsia="Times New Roman" w:cstheme="minorHAnsi"/>
          <w:lang w:eastAsia="it-IT"/>
        </w:rPr>
        <w:t>Saieva</w:t>
      </w:r>
      <w:proofErr w:type="spellEnd"/>
      <w:r w:rsidRPr="00FE11CE">
        <w:rPr>
          <w:rFonts w:eastAsia="Times New Roman" w:cstheme="minorHAnsi"/>
          <w:lang w:eastAsia="it-IT"/>
        </w:rPr>
        <w:t xml:space="preserve"> Giuseppe;</w:t>
      </w:r>
    </w:p>
    <w:p w:rsidR="00FE11CE" w:rsidRPr="00FE11CE" w:rsidRDefault="00FE11CE" w:rsidP="00CF3B0F">
      <w:pPr>
        <w:spacing w:before="195" w:after="195" w:line="240" w:lineRule="auto"/>
        <w:jc w:val="both"/>
        <w:rPr>
          <w:rFonts w:eastAsia="Times New Roman" w:cstheme="minorHAnsi"/>
          <w:lang w:eastAsia="it-IT"/>
        </w:rPr>
      </w:pPr>
      <w:r w:rsidRPr="00FE11CE">
        <w:rPr>
          <w:rFonts w:eastAsia="Times New Roman" w:cstheme="minorHAnsi"/>
          <w:lang w:eastAsia="it-IT"/>
        </w:rPr>
        <w:t xml:space="preserve">Udito il Pubblico Ministero, in persona del Sostituto Procuratore generale, Dott. De </w:t>
      </w:r>
      <w:proofErr w:type="spellStart"/>
      <w:r w:rsidRPr="00FE11CE">
        <w:rPr>
          <w:rFonts w:eastAsia="Times New Roman" w:cstheme="minorHAnsi"/>
          <w:lang w:eastAsia="it-IT"/>
        </w:rPr>
        <w:t>Augustinis</w:t>
      </w:r>
      <w:proofErr w:type="spellEnd"/>
      <w:r w:rsidRPr="00FE11CE">
        <w:rPr>
          <w:rFonts w:eastAsia="Times New Roman" w:cstheme="minorHAnsi"/>
          <w:lang w:eastAsia="it-IT"/>
        </w:rPr>
        <w:t xml:space="preserve"> Umberto, che ha concluso per il rigetto del ricorso;</w:t>
      </w:r>
      <w:bookmarkStart w:id="0" w:name="_GoBack"/>
      <w:bookmarkEnd w:id="0"/>
    </w:p>
    <w:p w:rsidR="00FE11CE" w:rsidRPr="00FE11CE" w:rsidRDefault="00FE11CE" w:rsidP="00CF3B0F">
      <w:pPr>
        <w:spacing w:before="195" w:after="195" w:line="240" w:lineRule="auto"/>
        <w:jc w:val="both"/>
        <w:rPr>
          <w:rFonts w:eastAsia="Times New Roman" w:cstheme="minorHAnsi"/>
          <w:lang w:eastAsia="it-IT"/>
        </w:rPr>
      </w:pPr>
      <w:r w:rsidRPr="00FE11CE">
        <w:rPr>
          <w:rFonts w:eastAsia="Times New Roman" w:cstheme="minorHAnsi"/>
          <w:lang w:eastAsia="it-IT"/>
        </w:rPr>
        <w:t xml:space="preserve">Udito il difensore della controricorrente, in persona dell'Avvocato dello Stato Pietro </w:t>
      </w:r>
      <w:proofErr w:type="spellStart"/>
      <w:r w:rsidRPr="00FE11CE">
        <w:rPr>
          <w:rFonts w:eastAsia="Times New Roman" w:cstheme="minorHAnsi"/>
          <w:lang w:eastAsia="it-IT"/>
        </w:rPr>
        <w:t>Garofoli</w:t>
      </w:r>
      <w:proofErr w:type="spellEnd"/>
      <w:r w:rsidRPr="00FE11CE">
        <w:rPr>
          <w:rFonts w:eastAsia="Times New Roman" w:cstheme="minorHAnsi"/>
          <w:lang w:eastAsia="it-IT"/>
        </w:rPr>
        <w:t>, che ha concluso per il rigetto del ricorso.</w:t>
      </w:r>
      <w:bookmarkStart w:id="1" w:name="fatto"/>
      <w:r w:rsidRPr="00FE11CE">
        <w:rPr>
          <w:rFonts w:eastAsia="Times New Roman" w:cstheme="minorHAnsi"/>
          <w:lang w:eastAsia="it-IT"/>
        </w:rPr>
        <w:fldChar w:fldCharType="begin"/>
      </w:r>
      <w:r w:rsidRPr="00FE11CE">
        <w:rPr>
          <w:rFonts w:eastAsia="Times New Roman" w:cstheme="minorHAnsi"/>
          <w:lang w:eastAsia="it-IT"/>
        </w:rPr>
        <w:instrText xml:space="preserve"> HYPERLINK "javascript:LinkReplacer.scroll('fatto_up')" </w:instrText>
      </w:r>
      <w:r w:rsidRPr="00FE11CE">
        <w:rPr>
          <w:rFonts w:eastAsia="Times New Roman" w:cstheme="minorHAnsi"/>
          <w:lang w:eastAsia="it-IT"/>
        </w:rPr>
        <w:fldChar w:fldCharType="separate"/>
      </w:r>
    </w:p>
    <w:p w:rsidR="00FE11CE" w:rsidRPr="00FE11CE" w:rsidRDefault="00FE11CE" w:rsidP="00CF3B0F">
      <w:pPr>
        <w:spacing w:before="800" w:after="0" w:line="240" w:lineRule="auto"/>
        <w:jc w:val="center"/>
        <w:outlineLvl w:val="0"/>
        <w:rPr>
          <w:rFonts w:eastAsia="Times New Roman" w:cstheme="minorHAnsi"/>
          <w:kern w:val="36"/>
          <w:sz w:val="56"/>
          <w:szCs w:val="56"/>
          <w:u w:val="single"/>
          <w:lang w:eastAsia="it-IT"/>
        </w:rPr>
      </w:pPr>
      <w:r w:rsidRPr="00FE11CE">
        <w:rPr>
          <w:rFonts w:eastAsia="Times New Roman" w:cstheme="minorHAnsi"/>
          <w:kern w:val="36"/>
          <w:u w:val="single"/>
          <w:lang w:eastAsia="it-IT"/>
        </w:rPr>
        <w:t>Svolgimento del processo</w:t>
      </w:r>
    </w:p>
    <w:p w:rsidR="00FE11CE" w:rsidRPr="00FE11CE" w:rsidRDefault="00FE11CE" w:rsidP="00FE11CE">
      <w:pPr>
        <w:spacing w:after="0" w:line="240" w:lineRule="auto"/>
        <w:rPr>
          <w:rFonts w:eastAsia="Times New Roman" w:cstheme="minorHAnsi"/>
          <w:lang w:eastAsia="it-IT"/>
        </w:rPr>
      </w:pPr>
      <w:r w:rsidRPr="00FE11CE">
        <w:rPr>
          <w:rFonts w:eastAsia="Times New Roman" w:cstheme="minorHAnsi"/>
          <w:lang w:eastAsia="it-IT"/>
        </w:rPr>
        <w:fldChar w:fldCharType="end"/>
      </w:r>
      <w:bookmarkEnd w:id="1"/>
    </w:p>
    <w:p w:rsidR="00FE11CE" w:rsidRPr="00FE11CE" w:rsidRDefault="00FE11CE" w:rsidP="00FE11CE">
      <w:pPr>
        <w:spacing w:before="195" w:after="195" w:line="240" w:lineRule="auto"/>
        <w:jc w:val="both"/>
        <w:rPr>
          <w:rFonts w:eastAsia="Times New Roman" w:cstheme="minorHAnsi"/>
          <w:lang w:eastAsia="it-IT"/>
        </w:rPr>
      </w:pPr>
      <w:r w:rsidRPr="00FE11CE">
        <w:rPr>
          <w:rFonts w:eastAsia="Times New Roman" w:cstheme="minorHAnsi"/>
          <w:lang w:eastAsia="it-IT"/>
        </w:rPr>
        <w:lastRenderedPageBreak/>
        <w:t xml:space="preserve">1. La società S.V. Costruzioni S.r.l., proponeva ricorso avverso l'avviso di accertamento notificatole dall'Agenzia delle Entrate, Ufficio di Casoria, col quale, sulla scorta di un </w:t>
      </w:r>
      <w:proofErr w:type="spellStart"/>
      <w:r w:rsidRPr="00FE11CE">
        <w:rPr>
          <w:rFonts w:eastAsia="Times New Roman" w:cstheme="minorHAnsi"/>
          <w:lang w:eastAsia="it-IT"/>
        </w:rPr>
        <w:t>p.v.c</w:t>
      </w:r>
      <w:proofErr w:type="spellEnd"/>
      <w:r w:rsidRPr="00FE11CE">
        <w:rPr>
          <w:rFonts w:eastAsia="Times New Roman" w:cstheme="minorHAnsi"/>
          <w:lang w:eastAsia="it-IT"/>
        </w:rPr>
        <w:t xml:space="preserve">. della G.d.F. di </w:t>
      </w:r>
      <w:proofErr w:type="spellStart"/>
      <w:r w:rsidRPr="00FE11CE">
        <w:rPr>
          <w:rFonts w:eastAsia="Times New Roman" w:cstheme="minorHAnsi"/>
          <w:lang w:eastAsia="it-IT"/>
        </w:rPr>
        <w:t>Casainuovo</w:t>
      </w:r>
      <w:proofErr w:type="spellEnd"/>
      <w:r w:rsidRPr="00FE11CE">
        <w:rPr>
          <w:rFonts w:eastAsia="Times New Roman" w:cstheme="minorHAnsi"/>
          <w:lang w:eastAsia="it-IT"/>
        </w:rPr>
        <w:t xml:space="preserve">, venivano rettificati il reddito ed i ricavi dichiarati per l'anno 2005 ai fini IRES, IRAP ed IVA; in particolare, le veniva contestata la </w:t>
      </w:r>
      <w:proofErr w:type="spellStart"/>
      <w:r w:rsidRPr="00FE11CE">
        <w:rPr>
          <w:rFonts w:eastAsia="Times New Roman" w:cstheme="minorHAnsi"/>
          <w:lang w:eastAsia="it-IT"/>
        </w:rPr>
        <w:t>sottofatturazione</w:t>
      </w:r>
      <w:proofErr w:type="spellEnd"/>
      <w:r w:rsidRPr="00FE11CE">
        <w:rPr>
          <w:rFonts w:eastAsia="Times New Roman" w:cstheme="minorHAnsi"/>
          <w:lang w:eastAsia="it-IT"/>
        </w:rPr>
        <w:t xml:space="preserve"> della vendita di dodici unità abitative accertate analiticamente per differenza tra il corrispettivo dichiarato nel rogito notarile ed i mutui erogati dal sistema creditizio agli acquirenti.</w:t>
      </w:r>
    </w:p>
    <w:p w:rsidR="00FE11CE" w:rsidRPr="00FE11CE" w:rsidRDefault="00FE11CE" w:rsidP="00FE11CE">
      <w:pPr>
        <w:spacing w:after="0" w:line="240" w:lineRule="auto"/>
        <w:jc w:val="both"/>
        <w:rPr>
          <w:rFonts w:eastAsia="Times New Roman" w:cstheme="minorHAnsi"/>
          <w:lang w:eastAsia="it-IT"/>
        </w:rPr>
      </w:pPr>
      <w:r w:rsidRPr="00FE11CE">
        <w:rPr>
          <w:rFonts w:eastAsia="Times New Roman" w:cstheme="minorHAnsi"/>
          <w:lang w:eastAsia="it-IT"/>
        </w:rPr>
        <w:t xml:space="preserve">2. Eccepiva la società che l'attività della G.d.F. era avvenuta in violazione di legge dato che l'accesso dei militari presso la sede legale della società, coincidente con l'abitazione dell'Amministratore Unico, era avvenuto con l'autorizzazione del Procuratore della Repubblica ma senza quella del comandante territoriale della G. di F. in violazione del </w:t>
      </w:r>
      <w:hyperlink r:id="rId4" w:history="1">
        <w:r w:rsidRPr="00FE11CE">
          <w:rPr>
            <w:rFonts w:eastAsia="Times New Roman" w:cstheme="minorHAnsi"/>
            <w:lang w:eastAsia="it-IT"/>
          </w:rPr>
          <w:t>D.P.R. n. 633 del 1972,</w:t>
        </w:r>
      </w:hyperlink>
      <w:r w:rsidRPr="00FE11CE">
        <w:rPr>
          <w:rFonts w:eastAsia="Times New Roman" w:cstheme="minorHAnsi"/>
          <w:lang w:eastAsia="it-IT"/>
        </w:rPr>
        <w:t xml:space="preserve"> art. </w:t>
      </w:r>
      <w:hyperlink r:id="rId5" w:history="1">
        <w:r w:rsidRPr="00FE11CE">
          <w:rPr>
            <w:rFonts w:eastAsia="Times New Roman" w:cstheme="minorHAnsi"/>
            <w:lang w:eastAsia="it-IT"/>
          </w:rPr>
          <w:t>52</w:t>
        </w:r>
      </w:hyperlink>
      <w:r w:rsidRPr="00FE11CE">
        <w:rPr>
          <w:rFonts w:eastAsia="Times New Roman" w:cstheme="minorHAnsi"/>
          <w:lang w:eastAsia="it-IT"/>
        </w:rPr>
        <w:t xml:space="preserve"> e </w:t>
      </w:r>
      <w:hyperlink r:id="rId6" w:history="1">
        <w:r w:rsidRPr="00FE11CE">
          <w:rPr>
            <w:rFonts w:eastAsia="Times New Roman" w:cstheme="minorHAnsi"/>
            <w:lang w:eastAsia="it-IT"/>
          </w:rPr>
          <w:t>D.P.R. n. 600 del 1973,</w:t>
        </w:r>
      </w:hyperlink>
      <w:r w:rsidRPr="00FE11CE">
        <w:rPr>
          <w:rFonts w:eastAsia="Times New Roman" w:cstheme="minorHAnsi"/>
          <w:lang w:eastAsia="it-IT"/>
        </w:rPr>
        <w:t xml:space="preserve"> art. </w:t>
      </w:r>
      <w:hyperlink r:id="rId7" w:history="1">
        <w:r w:rsidRPr="00FE11CE">
          <w:rPr>
            <w:rFonts w:eastAsia="Times New Roman" w:cstheme="minorHAnsi"/>
            <w:lang w:eastAsia="it-IT"/>
          </w:rPr>
          <w:t>33</w:t>
        </w:r>
      </w:hyperlink>
      <w:r w:rsidRPr="00FE11CE">
        <w:rPr>
          <w:rFonts w:eastAsia="Times New Roman" w:cstheme="minorHAnsi"/>
          <w:lang w:eastAsia="it-IT"/>
        </w:rPr>
        <w:t>, per cui tutta l'attività istruttoria era illegittima e, quindi, essendo illegittimo l'accesso e la successiva verifica fiscale, l'atto era nullo.</w:t>
      </w:r>
    </w:p>
    <w:p w:rsidR="00FE11CE" w:rsidRPr="00FE11CE" w:rsidRDefault="00FE11CE" w:rsidP="00FE11CE">
      <w:pPr>
        <w:spacing w:before="195" w:after="195" w:line="240" w:lineRule="auto"/>
        <w:jc w:val="both"/>
        <w:rPr>
          <w:rFonts w:eastAsia="Times New Roman" w:cstheme="minorHAnsi"/>
          <w:lang w:eastAsia="it-IT"/>
        </w:rPr>
      </w:pPr>
      <w:r w:rsidRPr="00FE11CE">
        <w:rPr>
          <w:rFonts w:eastAsia="Times New Roman" w:cstheme="minorHAnsi"/>
          <w:lang w:eastAsia="it-IT"/>
        </w:rPr>
        <w:t>3. L'Ufficio si opponeva all'accoglimento del ricorso che veniva rigettato dalla Commissione Tributaria Provinciale di Napoli.</w:t>
      </w:r>
    </w:p>
    <w:p w:rsidR="00FE11CE" w:rsidRPr="00FE11CE" w:rsidRDefault="00FE11CE" w:rsidP="00FE11CE">
      <w:pPr>
        <w:spacing w:before="195" w:after="195" w:line="240" w:lineRule="auto"/>
        <w:jc w:val="both"/>
        <w:rPr>
          <w:rFonts w:eastAsia="Times New Roman" w:cstheme="minorHAnsi"/>
          <w:lang w:eastAsia="it-IT"/>
        </w:rPr>
      </w:pPr>
      <w:r w:rsidRPr="00FE11CE">
        <w:rPr>
          <w:rFonts w:eastAsia="Times New Roman" w:cstheme="minorHAnsi"/>
          <w:lang w:eastAsia="it-IT"/>
        </w:rPr>
        <w:t>4. Avverso la sentenza della Commissione Tributaria Regionale della Campania n. 40/28/13, pronunciata il 24.9.2012 e depositata l'11.2.2013, con cui veniva rigettato l'appello interposto dalla contribuente, quest'ultima proponeva ricorso per cassazione che affidava a due motivi.</w:t>
      </w:r>
    </w:p>
    <w:p w:rsidR="00FE11CE" w:rsidRPr="00FE11CE" w:rsidRDefault="00FE11CE" w:rsidP="00FE11CE">
      <w:pPr>
        <w:spacing w:before="195" w:after="195" w:line="240" w:lineRule="auto"/>
        <w:jc w:val="both"/>
        <w:rPr>
          <w:rFonts w:eastAsia="Times New Roman" w:cstheme="minorHAnsi"/>
          <w:lang w:eastAsia="it-IT"/>
        </w:rPr>
      </w:pPr>
      <w:r w:rsidRPr="00FE11CE">
        <w:rPr>
          <w:rFonts w:eastAsia="Times New Roman" w:cstheme="minorHAnsi"/>
          <w:lang w:eastAsia="it-IT"/>
        </w:rPr>
        <w:t xml:space="preserve">5. L'Agenzia delle Entrate resiste con controricorso. </w:t>
      </w:r>
      <w:bookmarkStart w:id="2" w:name="diritto"/>
      <w:r w:rsidRPr="00FE11CE">
        <w:rPr>
          <w:rFonts w:eastAsia="Times New Roman" w:cstheme="minorHAnsi"/>
          <w:lang w:eastAsia="it-IT"/>
        </w:rPr>
        <w:fldChar w:fldCharType="begin"/>
      </w:r>
      <w:r w:rsidRPr="00FE11CE">
        <w:rPr>
          <w:rFonts w:eastAsia="Times New Roman" w:cstheme="minorHAnsi"/>
          <w:lang w:eastAsia="it-IT"/>
        </w:rPr>
        <w:instrText xml:space="preserve"> HYPERLINK "javascript:LinkReplacer.scroll('diritto_up')" </w:instrText>
      </w:r>
      <w:r w:rsidRPr="00FE11CE">
        <w:rPr>
          <w:rFonts w:eastAsia="Times New Roman" w:cstheme="minorHAnsi"/>
          <w:lang w:eastAsia="it-IT"/>
        </w:rPr>
        <w:fldChar w:fldCharType="separate"/>
      </w:r>
    </w:p>
    <w:p w:rsidR="00FE11CE" w:rsidRPr="00FE11CE" w:rsidRDefault="00FE11CE" w:rsidP="00FE11CE">
      <w:pPr>
        <w:spacing w:before="800" w:after="0" w:line="240" w:lineRule="auto"/>
        <w:jc w:val="center"/>
        <w:outlineLvl w:val="0"/>
        <w:rPr>
          <w:rFonts w:eastAsia="Times New Roman" w:cstheme="minorHAnsi"/>
          <w:kern w:val="36"/>
          <w:sz w:val="56"/>
          <w:szCs w:val="56"/>
          <w:u w:val="single"/>
          <w:lang w:eastAsia="it-IT"/>
        </w:rPr>
      </w:pPr>
      <w:r w:rsidRPr="00FE11CE">
        <w:rPr>
          <w:rFonts w:eastAsia="Times New Roman" w:cstheme="minorHAnsi"/>
          <w:kern w:val="36"/>
          <w:u w:val="single"/>
          <w:lang w:eastAsia="it-IT"/>
        </w:rPr>
        <w:t>Motivi della decisione</w:t>
      </w:r>
    </w:p>
    <w:p w:rsidR="00FE11CE" w:rsidRPr="00FE11CE" w:rsidRDefault="00FE11CE" w:rsidP="00FE11CE">
      <w:pPr>
        <w:spacing w:after="0" w:line="240" w:lineRule="auto"/>
        <w:rPr>
          <w:rFonts w:eastAsia="Times New Roman" w:cstheme="minorHAnsi"/>
          <w:lang w:eastAsia="it-IT"/>
        </w:rPr>
      </w:pPr>
      <w:r w:rsidRPr="00FE11CE">
        <w:rPr>
          <w:rFonts w:eastAsia="Times New Roman" w:cstheme="minorHAnsi"/>
          <w:lang w:eastAsia="it-IT"/>
        </w:rPr>
        <w:fldChar w:fldCharType="end"/>
      </w:r>
      <w:bookmarkEnd w:id="2"/>
    </w:p>
    <w:p w:rsidR="00FE11CE" w:rsidRPr="00FE11CE" w:rsidRDefault="00FE11CE" w:rsidP="00FE11CE">
      <w:pPr>
        <w:spacing w:after="0" w:line="240" w:lineRule="auto"/>
        <w:jc w:val="both"/>
        <w:rPr>
          <w:rFonts w:eastAsia="Times New Roman" w:cstheme="minorHAnsi"/>
          <w:lang w:eastAsia="it-IT"/>
        </w:rPr>
      </w:pPr>
      <w:r w:rsidRPr="00FE11CE">
        <w:rPr>
          <w:rFonts w:eastAsia="Times New Roman" w:cstheme="minorHAnsi"/>
          <w:lang w:eastAsia="it-IT"/>
        </w:rPr>
        <w:t xml:space="preserve">1. Con il primo motivo la società ricorrente deduce "violazione e falsa applicazione del </w:t>
      </w:r>
      <w:hyperlink r:id="rId8" w:history="1">
        <w:r w:rsidRPr="00FE11CE">
          <w:rPr>
            <w:rFonts w:eastAsia="Times New Roman" w:cstheme="minorHAnsi"/>
            <w:lang w:eastAsia="it-IT"/>
          </w:rPr>
          <w:t>D.P.R. n. 633 del 1972,</w:t>
        </w:r>
      </w:hyperlink>
      <w:r w:rsidRPr="00FE11CE">
        <w:rPr>
          <w:rFonts w:eastAsia="Times New Roman" w:cstheme="minorHAnsi"/>
          <w:lang w:eastAsia="it-IT"/>
        </w:rPr>
        <w:t xml:space="preserve"> art. </w:t>
      </w:r>
      <w:hyperlink r:id="rId9" w:history="1">
        <w:r w:rsidRPr="00FE11CE">
          <w:rPr>
            <w:rFonts w:eastAsia="Times New Roman" w:cstheme="minorHAnsi"/>
            <w:lang w:eastAsia="it-IT"/>
          </w:rPr>
          <w:t>52</w:t>
        </w:r>
      </w:hyperlink>
      <w:r w:rsidRPr="00FE11CE">
        <w:rPr>
          <w:rFonts w:eastAsia="Times New Roman" w:cstheme="minorHAnsi"/>
          <w:lang w:eastAsia="it-IT"/>
        </w:rPr>
        <w:t xml:space="preserve"> e del </w:t>
      </w:r>
      <w:hyperlink r:id="rId10" w:history="1">
        <w:r w:rsidRPr="00FE11CE">
          <w:rPr>
            <w:rFonts w:eastAsia="Times New Roman" w:cstheme="minorHAnsi"/>
            <w:lang w:eastAsia="it-IT"/>
          </w:rPr>
          <w:t>D.P.R. n. 600 del 1973,</w:t>
        </w:r>
      </w:hyperlink>
      <w:r w:rsidRPr="00FE11CE">
        <w:rPr>
          <w:rFonts w:eastAsia="Times New Roman" w:cstheme="minorHAnsi"/>
          <w:lang w:eastAsia="it-IT"/>
        </w:rPr>
        <w:t xml:space="preserve"> art. </w:t>
      </w:r>
      <w:hyperlink r:id="rId11" w:history="1">
        <w:r w:rsidRPr="00FE11CE">
          <w:rPr>
            <w:rFonts w:eastAsia="Times New Roman" w:cstheme="minorHAnsi"/>
            <w:lang w:eastAsia="it-IT"/>
          </w:rPr>
          <w:t>33</w:t>
        </w:r>
      </w:hyperlink>
      <w:r w:rsidRPr="00FE11CE">
        <w:rPr>
          <w:rFonts w:eastAsia="Times New Roman" w:cstheme="minorHAnsi"/>
          <w:lang w:eastAsia="it-IT"/>
        </w:rPr>
        <w:t xml:space="preserve">, </w:t>
      </w:r>
      <w:proofErr w:type="spellStart"/>
      <w:r w:rsidRPr="00FE11CE">
        <w:rPr>
          <w:rFonts w:eastAsia="Times New Roman" w:cstheme="minorHAnsi"/>
          <w:lang w:eastAsia="it-IT"/>
        </w:rPr>
        <w:t>nonchè</w:t>
      </w:r>
      <w:proofErr w:type="spellEnd"/>
      <w:r w:rsidRPr="00FE11CE">
        <w:rPr>
          <w:rFonts w:eastAsia="Times New Roman" w:cstheme="minorHAnsi"/>
          <w:lang w:eastAsia="it-IT"/>
        </w:rPr>
        <w:t xml:space="preserve"> degli </w:t>
      </w:r>
      <w:hyperlink r:id="rId12" w:history="1">
        <w:r w:rsidRPr="00FE11CE">
          <w:rPr>
            <w:rFonts w:eastAsia="Times New Roman" w:cstheme="minorHAnsi"/>
            <w:lang w:eastAsia="it-IT"/>
          </w:rPr>
          <w:t>artt. 14, 24 e 97 Cost.</w:t>
        </w:r>
      </w:hyperlink>
      <w:r w:rsidRPr="00FE11CE">
        <w:rPr>
          <w:rFonts w:eastAsia="Times New Roman" w:cstheme="minorHAnsi"/>
          <w:lang w:eastAsia="it-IT"/>
        </w:rPr>
        <w:t xml:space="preserve"> (</w:t>
      </w:r>
      <w:hyperlink r:id="rId13" w:history="1">
        <w:r w:rsidRPr="00FE11CE">
          <w:rPr>
            <w:rFonts w:eastAsia="Times New Roman" w:cstheme="minorHAnsi"/>
            <w:lang w:eastAsia="it-IT"/>
          </w:rPr>
          <w:t>art. 360 c.p.c.</w:t>
        </w:r>
      </w:hyperlink>
      <w:r w:rsidRPr="00FE11CE">
        <w:rPr>
          <w:rFonts w:eastAsia="Times New Roman" w:cstheme="minorHAnsi"/>
          <w:lang w:eastAsia="it-IT"/>
        </w:rPr>
        <w:t xml:space="preserve">, comma 1, n. 3)", lamentando che la verifica della G.d.F. era stata effettuata mediante accesso presso la sede legale della società ricorrente, che è anche l'abitazione dell'amministratore, senza il previo rilascio dell'autorizzazione del Comandante di zona che per espressa disposizione di legge (citato </w:t>
      </w:r>
      <w:hyperlink r:id="rId14" w:history="1">
        <w:r w:rsidRPr="00FE11CE">
          <w:rPr>
            <w:rFonts w:eastAsia="Times New Roman" w:cstheme="minorHAnsi"/>
            <w:lang w:eastAsia="it-IT"/>
          </w:rPr>
          <w:t>D.P.R. n. 633 del 1972,</w:t>
        </w:r>
      </w:hyperlink>
      <w:r w:rsidRPr="00FE11CE">
        <w:rPr>
          <w:rFonts w:eastAsia="Times New Roman" w:cstheme="minorHAnsi"/>
          <w:lang w:eastAsia="it-IT"/>
        </w:rPr>
        <w:t xml:space="preserve"> art. </w:t>
      </w:r>
      <w:hyperlink r:id="rId15" w:history="1">
        <w:r w:rsidRPr="00FE11CE">
          <w:rPr>
            <w:rFonts w:eastAsia="Times New Roman" w:cstheme="minorHAnsi"/>
            <w:lang w:eastAsia="it-IT"/>
          </w:rPr>
          <w:t>52</w:t>
        </w:r>
      </w:hyperlink>
      <w:r w:rsidRPr="00FE11CE">
        <w:rPr>
          <w:rFonts w:eastAsia="Times New Roman" w:cstheme="minorHAnsi"/>
          <w:lang w:eastAsia="it-IT"/>
        </w:rPr>
        <w:t>), si aggiunge, a quella del Procuratore della Repubblica.</w:t>
      </w:r>
    </w:p>
    <w:p w:rsidR="00FE11CE" w:rsidRPr="00FE11CE" w:rsidRDefault="00FE11CE" w:rsidP="00FE11CE">
      <w:pPr>
        <w:spacing w:before="195" w:after="195" w:line="240" w:lineRule="auto"/>
        <w:jc w:val="both"/>
        <w:rPr>
          <w:rFonts w:eastAsia="Times New Roman" w:cstheme="minorHAnsi"/>
          <w:lang w:eastAsia="it-IT"/>
        </w:rPr>
      </w:pPr>
      <w:r w:rsidRPr="00FE11CE">
        <w:rPr>
          <w:rFonts w:eastAsia="Times New Roman" w:cstheme="minorHAnsi"/>
          <w:lang w:eastAsia="it-IT"/>
        </w:rPr>
        <w:t>1.2. Detta censura appare priva di fondamento.</w:t>
      </w:r>
    </w:p>
    <w:p w:rsidR="00FE11CE" w:rsidRPr="00FE11CE" w:rsidRDefault="00FE11CE" w:rsidP="00FE11CE">
      <w:pPr>
        <w:spacing w:after="0" w:line="240" w:lineRule="auto"/>
        <w:jc w:val="both"/>
        <w:rPr>
          <w:rFonts w:eastAsia="Times New Roman" w:cstheme="minorHAnsi"/>
          <w:lang w:eastAsia="it-IT"/>
        </w:rPr>
      </w:pPr>
      <w:r w:rsidRPr="00FE11CE">
        <w:rPr>
          <w:rFonts w:eastAsia="Times New Roman" w:cstheme="minorHAnsi"/>
          <w:lang w:eastAsia="it-IT"/>
        </w:rPr>
        <w:t xml:space="preserve">1.3. Per giurisprudenza ormai pacifica di questa Corte (Sez. 5, </w:t>
      </w:r>
      <w:proofErr w:type="spellStart"/>
      <w:r w:rsidRPr="00FE11CE">
        <w:rPr>
          <w:rFonts w:eastAsia="Times New Roman" w:cstheme="minorHAnsi"/>
          <w:lang w:eastAsia="it-IT"/>
        </w:rPr>
        <w:t>sent</w:t>
      </w:r>
      <w:proofErr w:type="spellEnd"/>
      <w:r w:rsidRPr="00FE11CE">
        <w:rPr>
          <w:rFonts w:eastAsia="Times New Roman" w:cstheme="minorHAnsi"/>
          <w:lang w:eastAsia="it-IT"/>
        </w:rPr>
        <w:t xml:space="preserve">. n. 16017 dell'8.7.2009; n. 16661 del 29.7.2011; e n. 1444 del 22.1.2013), ai sensi della </w:t>
      </w:r>
      <w:hyperlink r:id="rId16" w:history="1">
        <w:r w:rsidRPr="00FE11CE">
          <w:rPr>
            <w:rFonts w:eastAsia="Times New Roman" w:cstheme="minorHAnsi"/>
            <w:lang w:eastAsia="it-IT"/>
          </w:rPr>
          <w:t>L. 7 gennaio 1929, n. 4,</w:t>
        </w:r>
      </w:hyperlink>
      <w:r w:rsidRPr="00FE11CE">
        <w:rPr>
          <w:rFonts w:eastAsia="Times New Roman" w:cstheme="minorHAnsi"/>
          <w:lang w:eastAsia="it-IT"/>
        </w:rPr>
        <w:t xml:space="preserve"> art. </w:t>
      </w:r>
      <w:hyperlink r:id="rId17" w:history="1">
        <w:r w:rsidRPr="00FE11CE">
          <w:rPr>
            <w:rFonts w:eastAsia="Times New Roman" w:cstheme="minorHAnsi"/>
            <w:lang w:eastAsia="it-IT"/>
          </w:rPr>
          <w:t>35</w:t>
        </w:r>
      </w:hyperlink>
      <w:r w:rsidRPr="00FE11CE">
        <w:rPr>
          <w:rFonts w:eastAsia="Times New Roman" w:cstheme="minorHAnsi"/>
          <w:lang w:eastAsia="it-IT"/>
        </w:rPr>
        <w:t>, la Guardia di finanza, in quanto polizia tributaria, può sempre accedere negli esercizi pubblici e in ogni locale adibito ad azienda industriale o commerciale ed eseguirvi verificazioni e ricerche, per assicurarsi dell'adempimento delle prescrizioni imposte dalle leggi e dai regolamenti in materia finanziaria, non necessitando, a tal fine, di autorizzazione scritta, richiesta per il diverso caso di accesso effettuato dai dipendenti civili dell'Amministrazione finanziaria.</w:t>
      </w:r>
    </w:p>
    <w:p w:rsidR="00FE11CE" w:rsidRPr="00FE11CE" w:rsidRDefault="00FE11CE" w:rsidP="00FE11CE">
      <w:pPr>
        <w:spacing w:before="195" w:after="195" w:line="240" w:lineRule="auto"/>
        <w:jc w:val="both"/>
        <w:rPr>
          <w:rFonts w:eastAsia="Times New Roman" w:cstheme="minorHAnsi"/>
          <w:lang w:eastAsia="it-IT"/>
        </w:rPr>
      </w:pPr>
      <w:r w:rsidRPr="00FE11CE">
        <w:rPr>
          <w:rFonts w:eastAsia="Times New Roman" w:cstheme="minorHAnsi"/>
          <w:lang w:eastAsia="it-IT"/>
        </w:rPr>
        <w:t>1.4. Nessun obbligo incombeva pertanto sui militari che hanno proceduto alla ispezione nei confronti della ricorrente di munirsi di specifica autorizzazione scritta del comandante territoriale del corpo, cui, in base al principio gerarchico interno, è interamente riferibile l'intera attività del personale dipendente.</w:t>
      </w:r>
    </w:p>
    <w:p w:rsidR="00FE11CE" w:rsidRPr="00FE11CE" w:rsidRDefault="00FE11CE" w:rsidP="00FE11CE">
      <w:pPr>
        <w:spacing w:before="195" w:after="195" w:line="240" w:lineRule="auto"/>
        <w:jc w:val="both"/>
        <w:rPr>
          <w:rFonts w:eastAsia="Times New Roman" w:cstheme="minorHAnsi"/>
          <w:lang w:eastAsia="it-IT"/>
        </w:rPr>
      </w:pPr>
      <w:r w:rsidRPr="00FE11CE">
        <w:rPr>
          <w:rFonts w:eastAsia="Times New Roman" w:cstheme="minorHAnsi"/>
          <w:lang w:eastAsia="it-IT"/>
        </w:rPr>
        <w:t>1.5. Va quindi disattesa la pretesa inutilizzabilità di tutti gli atti acquisiti dalla G.d.F. ai fini dell'accertamento de quo.</w:t>
      </w:r>
    </w:p>
    <w:p w:rsidR="00FE11CE" w:rsidRPr="00FE11CE" w:rsidRDefault="00FE11CE" w:rsidP="00FE11CE">
      <w:pPr>
        <w:spacing w:after="0" w:line="240" w:lineRule="auto"/>
        <w:jc w:val="both"/>
        <w:rPr>
          <w:rFonts w:eastAsia="Times New Roman" w:cstheme="minorHAnsi"/>
          <w:lang w:eastAsia="it-IT"/>
        </w:rPr>
      </w:pPr>
      <w:r w:rsidRPr="00FE11CE">
        <w:rPr>
          <w:rFonts w:eastAsia="Times New Roman" w:cstheme="minorHAnsi"/>
          <w:lang w:eastAsia="it-IT"/>
        </w:rPr>
        <w:t xml:space="preserve">2. Con il secondo motivo la ricorrente deduce "violazione e falsa applicazione del </w:t>
      </w:r>
      <w:hyperlink r:id="rId18" w:history="1">
        <w:r w:rsidRPr="00FE11CE">
          <w:rPr>
            <w:rFonts w:eastAsia="Times New Roman" w:cstheme="minorHAnsi"/>
            <w:lang w:eastAsia="it-IT"/>
          </w:rPr>
          <w:t>D.P.R. n. 633 del 1972,</w:t>
        </w:r>
      </w:hyperlink>
      <w:r w:rsidRPr="00FE11CE">
        <w:rPr>
          <w:rFonts w:eastAsia="Times New Roman" w:cstheme="minorHAnsi"/>
          <w:lang w:eastAsia="it-IT"/>
        </w:rPr>
        <w:t xml:space="preserve"> art. </w:t>
      </w:r>
      <w:hyperlink r:id="rId19" w:history="1">
        <w:r w:rsidRPr="00FE11CE">
          <w:rPr>
            <w:rFonts w:eastAsia="Times New Roman" w:cstheme="minorHAnsi"/>
            <w:lang w:eastAsia="it-IT"/>
          </w:rPr>
          <w:t>52</w:t>
        </w:r>
      </w:hyperlink>
      <w:r w:rsidRPr="00FE11CE">
        <w:rPr>
          <w:rFonts w:eastAsia="Times New Roman" w:cstheme="minorHAnsi"/>
          <w:lang w:eastAsia="it-IT"/>
        </w:rPr>
        <w:t xml:space="preserve">, del </w:t>
      </w:r>
      <w:hyperlink r:id="rId20" w:history="1">
        <w:r w:rsidRPr="00FE11CE">
          <w:rPr>
            <w:rFonts w:eastAsia="Times New Roman" w:cstheme="minorHAnsi"/>
            <w:lang w:eastAsia="it-IT"/>
          </w:rPr>
          <w:t>D.P.R. n. 600 del 1973,</w:t>
        </w:r>
      </w:hyperlink>
      <w:r w:rsidRPr="00FE11CE">
        <w:rPr>
          <w:rFonts w:eastAsia="Times New Roman" w:cstheme="minorHAnsi"/>
          <w:lang w:eastAsia="it-IT"/>
        </w:rPr>
        <w:t xml:space="preserve"> art. </w:t>
      </w:r>
      <w:hyperlink r:id="rId21" w:history="1">
        <w:r w:rsidRPr="00FE11CE">
          <w:rPr>
            <w:rFonts w:eastAsia="Times New Roman" w:cstheme="minorHAnsi"/>
            <w:lang w:eastAsia="it-IT"/>
          </w:rPr>
          <w:t>33</w:t>
        </w:r>
      </w:hyperlink>
      <w:r w:rsidRPr="00FE11CE">
        <w:rPr>
          <w:rFonts w:eastAsia="Times New Roman" w:cstheme="minorHAnsi"/>
          <w:lang w:eastAsia="it-IT"/>
        </w:rPr>
        <w:t xml:space="preserve"> e dell'art. 2697 c.c., </w:t>
      </w:r>
      <w:proofErr w:type="spellStart"/>
      <w:r w:rsidRPr="00FE11CE">
        <w:rPr>
          <w:rFonts w:eastAsia="Times New Roman" w:cstheme="minorHAnsi"/>
          <w:lang w:eastAsia="it-IT"/>
        </w:rPr>
        <w:t>nonchè</w:t>
      </w:r>
      <w:proofErr w:type="spellEnd"/>
      <w:r w:rsidRPr="00FE11CE">
        <w:rPr>
          <w:rFonts w:eastAsia="Times New Roman" w:cstheme="minorHAnsi"/>
          <w:lang w:eastAsia="it-IT"/>
        </w:rPr>
        <w:t xml:space="preserve"> degli </w:t>
      </w:r>
      <w:hyperlink r:id="rId22" w:history="1">
        <w:r w:rsidRPr="00FE11CE">
          <w:rPr>
            <w:rFonts w:eastAsia="Times New Roman" w:cstheme="minorHAnsi"/>
            <w:lang w:eastAsia="it-IT"/>
          </w:rPr>
          <w:t>artt. 14, 24 e 97 Cost.</w:t>
        </w:r>
      </w:hyperlink>
      <w:r w:rsidRPr="00FE11CE">
        <w:rPr>
          <w:rFonts w:eastAsia="Times New Roman" w:cstheme="minorHAnsi"/>
          <w:lang w:eastAsia="it-IT"/>
        </w:rPr>
        <w:t xml:space="preserve"> (</w:t>
      </w:r>
      <w:hyperlink r:id="rId23" w:history="1">
        <w:r w:rsidRPr="00FE11CE">
          <w:rPr>
            <w:rFonts w:eastAsia="Times New Roman" w:cstheme="minorHAnsi"/>
            <w:lang w:eastAsia="it-IT"/>
          </w:rPr>
          <w:t>art. 360 c.p.c.</w:t>
        </w:r>
      </w:hyperlink>
      <w:r w:rsidRPr="00FE11CE">
        <w:rPr>
          <w:rFonts w:eastAsia="Times New Roman" w:cstheme="minorHAnsi"/>
          <w:lang w:eastAsia="it-IT"/>
        </w:rPr>
        <w:t xml:space="preserve">, comma 1, n. 3)", lamentando che i Giudici di appello in violazione </w:t>
      </w:r>
      <w:hyperlink r:id="rId24" w:history="1">
        <w:r w:rsidRPr="00FE11CE">
          <w:rPr>
            <w:rFonts w:eastAsia="Times New Roman" w:cstheme="minorHAnsi"/>
            <w:lang w:eastAsia="it-IT"/>
          </w:rPr>
          <w:t>dell'art. 2697 c.c.</w:t>
        </w:r>
      </w:hyperlink>
      <w:r w:rsidRPr="00FE11CE">
        <w:rPr>
          <w:rFonts w:eastAsia="Times New Roman" w:cstheme="minorHAnsi"/>
          <w:lang w:eastAsia="it-IT"/>
        </w:rPr>
        <w:t xml:space="preserve"> non avrebbero proceduto </w:t>
      </w:r>
      <w:r w:rsidRPr="00FE11CE">
        <w:rPr>
          <w:rFonts w:eastAsia="Times New Roman" w:cstheme="minorHAnsi"/>
          <w:lang w:eastAsia="it-IT"/>
        </w:rPr>
        <w:lastRenderedPageBreak/>
        <w:t>alla acquisizione della documentazione idonea a verificare la legittimità degli atti su cui si fondava in concreto l'accertamento tributario impugnato.</w:t>
      </w:r>
    </w:p>
    <w:p w:rsidR="00FE11CE" w:rsidRPr="00FE11CE" w:rsidRDefault="00FE11CE" w:rsidP="00FE11CE">
      <w:pPr>
        <w:spacing w:before="195" w:after="195" w:line="240" w:lineRule="auto"/>
        <w:jc w:val="both"/>
        <w:rPr>
          <w:rFonts w:eastAsia="Times New Roman" w:cstheme="minorHAnsi"/>
          <w:lang w:eastAsia="it-IT"/>
        </w:rPr>
      </w:pPr>
      <w:r w:rsidRPr="00FE11CE">
        <w:rPr>
          <w:rFonts w:eastAsia="Times New Roman" w:cstheme="minorHAnsi"/>
          <w:lang w:eastAsia="it-IT"/>
        </w:rPr>
        <w:t>2.1. Anche tale censura è inammissibile e comunque infondata.</w:t>
      </w:r>
    </w:p>
    <w:p w:rsidR="00FE11CE" w:rsidRPr="00FE11CE" w:rsidRDefault="00FE11CE" w:rsidP="00FE11CE">
      <w:pPr>
        <w:spacing w:after="0" w:line="240" w:lineRule="auto"/>
        <w:jc w:val="both"/>
        <w:rPr>
          <w:rFonts w:eastAsia="Times New Roman" w:cstheme="minorHAnsi"/>
          <w:lang w:eastAsia="it-IT"/>
        </w:rPr>
      </w:pPr>
      <w:r w:rsidRPr="00FE11CE">
        <w:rPr>
          <w:rFonts w:eastAsia="Times New Roman" w:cstheme="minorHAnsi"/>
          <w:lang w:eastAsia="it-IT"/>
        </w:rPr>
        <w:t xml:space="preserve">2.2. L'estrema genericità con la quale la ricorrente omette di denunciare specificamente quali singoli atti siano inutilizzabili per la pretesa illiceità della loro acquisizione rende inammissibile la doglianza (cfr. anche nel proc. Penale Cass. </w:t>
      </w:r>
      <w:proofErr w:type="spellStart"/>
      <w:r w:rsidRPr="00FE11CE">
        <w:rPr>
          <w:rFonts w:eastAsia="Times New Roman" w:cstheme="minorHAnsi"/>
          <w:lang w:eastAsia="it-IT"/>
        </w:rPr>
        <w:t>pen</w:t>
      </w:r>
      <w:proofErr w:type="spellEnd"/>
      <w:r w:rsidRPr="00FE11CE">
        <w:rPr>
          <w:rFonts w:eastAsia="Times New Roman" w:cstheme="minorHAnsi"/>
          <w:lang w:eastAsia="it-IT"/>
        </w:rPr>
        <w:t xml:space="preserve">. Sez. 2, 27.6.2018, n. 35659). Ai sensi </w:t>
      </w:r>
      <w:hyperlink r:id="rId25" w:history="1">
        <w:r w:rsidRPr="00FE11CE">
          <w:rPr>
            <w:rFonts w:eastAsia="Times New Roman" w:cstheme="minorHAnsi"/>
            <w:lang w:eastAsia="it-IT"/>
          </w:rPr>
          <w:t>dell'art. 2697 c.c.</w:t>
        </w:r>
      </w:hyperlink>
      <w:r w:rsidRPr="00FE11CE">
        <w:rPr>
          <w:rFonts w:eastAsia="Times New Roman" w:cstheme="minorHAnsi"/>
          <w:lang w:eastAsia="it-IT"/>
        </w:rPr>
        <w:t xml:space="preserve">, comma 2, gravava comunque sulla ricorrente medesima, l'onere di fornire la prova della eccezione formulata in ordine alla (asserita) illegittima acquisizione di atti da parte della G.d.F., </w:t>
      </w:r>
      <w:proofErr w:type="spellStart"/>
      <w:r w:rsidRPr="00FE11CE">
        <w:rPr>
          <w:rFonts w:eastAsia="Times New Roman" w:cstheme="minorHAnsi"/>
          <w:lang w:eastAsia="it-IT"/>
        </w:rPr>
        <w:t>talchè</w:t>
      </w:r>
      <w:proofErr w:type="spellEnd"/>
      <w:r w:rsidRPr="00FE11CE">
        <w:rPr>
          <w:rFonts w:eastAsia="Times New Roman" w:cstheme="minorHAnsi"/>
          <w:lang w:eastAsia="it-IT"/>
        </w:rPr>
        <w:t xml:space="preserve"> nessuna inversione dell'onere della prova risulta nella specie effettuata.</w:t>
      </w:r>
    </w:p>
    <w:p w:rsidR="00FE11CE" w:rsidRPr="00FE11CE" w:rsidRDefault="00FE11CE" w:rsidP="00FE11CE">
      <w:pPr>
        <w:spacing w:before="195" w:after="195" w:line="240" w:lineRule="auto"/>
        <w:jc w:val="both"/>
        <w:rPr>
          <w:rFonts w:eastAsia="Times New Roman" w:cstheme="minorHAnsi"/>
          <w:lang w:eastAsia="it-IT"/>
        </w:rPr>
      </w:pPr>
      <w:r w:rsidRPr="00FE11CE">
        <w:rPr>
          <w:rFonts w:eastAsia="Times New Roman" w:cstheme="minorHAnsi"/>
          <w:lang w:eastAsia="it-IT"/>
        </w:rPr>
        <w:t xml:space="preserve">3. Il ricorso va pertanto rigettato. Le spese seguono la soccombenza e si liquidano come da dispositivo. Sussistono i presupposti per il versamento da parte della società ricorrente dell'ulteriore importo a titolo di contributo unificato. </w:t>
      </w:r>
      <w:bookmarkStart w:id="3" w:name="dispositivo"/>
      <w:r w:rsidRPr="00FE11CE">
        <w:rPr>
          <w:rFonts w:eastAsia="Times New Roman" w:cstheme="minorHAnsi"/>
          <w:lang w:eastAsia="it-IT"/>
        </w:rPr>
        <w:fldChar w:fldCharType="begin"/>
      </w:r>
      <w:r w:rsidRPr="00FE11CE">
        <w:rPr>
          <w:rFonts w:eastAsia="Times New Roman" w:cstheme="minorHAnsi"/>
          <w:lang w:eastAsia="it-IT"/>
        </w:rPr>
        <w:instrText xml:space="preserve"> HYPERLINK "javascript:LinkReplacer.scroll('dispositivo_up')" </w:instrText>
      </w:r>
      <w:r w:rsidRPr="00FE11CE">
        <w:rPr>
          <w:rFonts w:eastAsia="Times New Roman" w:cstheme="minorHAnsi"/>
          <w:lang w:eastAsia="it-IT"/>
        </w:rPr>
        <w:fldChar w:fldCharType="separate"/>
      </w:r>
    </w:p>
    <w:p w:rsidR="00FE11CE" w:rsidRPr="00FE11CE" w:rsidRDefault="00FE11CE" w:rsidP="00FE11CE">
      <w:pPr>
        <w:spacing w:before="800" w:after="0" w:line="240" w:lineRule="auto"/>
        <w:jc w:val="center"/>
        <w:outlineLvl w:val="0"/>
        <w:rPr>
          <w:rFonts w:eastAsia="Times New Roman" w:cstheme="minorHAnsi"/>
          <w:kern w:val="36"/>
          <w:sz w:val="56"/>
          <w:szCs w:val="56"/>
          <w:u w:val="single"/>
          <w:lang w:eastAsia="it-IT"/>
        </w:rPr>
      </w:pPr>
      <w:r w:rsidRPr="00FE11CE">
        <w:rPr>
          <w:rFonts w:eastAsia="Times New Roman" w:cstheme="minorHAnsi"/>
          <w:kern w:val="36"/>
          <w:u w:val="single"/>
          <w:lang w:eastAsia="it-IT"/>
        </w:rPr>
        <w:t>P.Q.M.</w:t>
      </w:r>
    </w:p>
    <w:p w:rsidR="00FE11CE" w:rsidRPr="00FE11CE" w:rsidRDefault="00FE11CE" w:rsidP="00FE11CE">
      <w:pPr>
        <w:spacing w:after="0" w:line="240" w:lineRule="auto"/>
        <w:rPr>
          <w:rFonts w:eastAsia="Times New Roman" w:cstheme="minorHAnsi"/>
          <w:lang w:eastAsia="it-IT"/>
        </w:rPr>
      </w:pPr>
      <w:r w:rsidRPr="00FE11CE">
        <w:rPr>
          <w:rFonts w:eastAsia="Times New Roman" w:cstheme="minorHAnsi"/>
          <w:lang w:eastAsia="it-IT"/>
        </w:rPr>
        <w:fldChar w:fldCharType="end"/>
      </w:r>
      <w:bookmarkEnd w:id="3"/>
    </w:p>
    <w:p w:rsidR="00FE11CE" w:rsidRPr="00FE11CE" w:rsidRDefault="00FE11CE" w:rsidP="00FE11CE">
      <w:pPr>
        <w:spacing w:before="195" w:after="195" w:line="240" w:lineRule="auto"/>
        <w:jc w:val="both"/>
        <w:rPr>
          <w:rFonts w:eastAsia="Times New Roman" w:cstheme="minorHAnsi"/>
          <w:lang w:eastAsia="it-IT"/>
        </w:rPr>
      </w:pPr>
      <w:r w:rsidRPr="00FE11CE">
        <w:rPr>
          <w:rFonts w:eastAsia="Times New Roman" w:cstheme="minorHAnsi"/>
          <w:lang w:eastAsia="it-IT"/>
        </w:rPr>
        <w:t xml:space="preserve">La Corte rigetta il ricorso e condanna la ricorrente al pagamento delle spese di giudizio in favore dell'Agenzia delle Entrate che liquida in 13.000,00 </w:t>
      </w:r>
      <w:proofErr w:type="gramStart"/>
      <w:r w:rsidRPr="00FE11CE">
        <w:rPr>
          <w:rFonts w:eastAsia="Times New Roman" w:cstheme="minorHAnsi"/>
          <w:lang w:eastAsia="it-IT"/>
        </w:rPr>
        <w:t>Euro</w:t>
      </w:r>
      <w:proofErr w:type="gramEnd"/>
      <w:r w:rsidRPr="00FE11CE">
        <w:rPr>
          <w:rFonts w:eastAsia="Times New Roman" w:cstheme="minorHAnsi"/>
          <w:lang w:eastAsia="it-IT"/>
        </w:rPr>
        <w:t>, oltre spese prenotate a debito.</w:t>
      </w:r>
    </w:p>
    <w:p w:rsidR="00FE11CE" w:rsidRPr="00FE11CE" w:rsidRDefault="00FE11CE" w:rsidP="00FE11CE">
      <w:pPr>
        <w:spacing w:after="0" w:line="240" w:lineRule="auto"/>
        <w:jc w:val="both"/>
        <w:rPr>
          <w:rFonts w:eastAsia="Times New Roman" w:cstheme="minorHAnsi"/>
          <w:lang w:eastAsia="it-IT"/>
        </w:rPr>
      </w:pPr>
      <w:r w:rsidRPr="00FE11CE">
        <w:rPr>
          <w:rFonts w:eastAsia="Times New Roman" w:cstheme="minorHAnsi"/>
          <w:lang w:eastAsia="it-IT"/>
        </w:rPr>
        <w:t xml:space="preserve">Ai sensi del </w:t>
      </w:r>
      <w:hyperlink r:id="rId26" w:history="1">
        <w:r w:rsidRPr="00FE11CE">
          <w:rPr>
            <w:rFonts w:eastAsia="Times New Roman" w:cstheme="minorHAnsi"/>
            <w:lang w:eastAsia="it-IT"/>
          </w:rPr>
          <w:t>D.P.R. n. 115 del 2002,</w:t>
        </w:r>
      </w:hyperlink>
      <w:r w:rsidRPr="00FE11CE">
        <w:rPr>
          <w:rFonts w:eastAsia="Times New Roman" w:cstheme="minorHAnsi"/>
          <w:lang w:eastAsia="it-IT"/>
        </w:rPr>
        <w:t xml:space="preserve"> art. </w:t>
      </w:r>
      <w:hyperlink r:id="rId27" w:history="1">
        <w:r w:rsidRPr="00FE11CE">
          <w:rPr>
            <w:rFonts w:eastAsia="Times New Roman" w:cstheme="minorHAnsi"/>
            <w:lang w:eastAsia="it-IT"/>
          </w:rPr>
          <w:t>13, comma 1</w:t>
        </w:r>
      </w:hyperlink>
      <w:r w:rsidRPr="00FE11CE">
        <w:rPr>
          <w:rFonts w:eastAsia="Times New Roman" w:cstheme="minorHAnsi"/>
          <w:lang w:eastAsia="it-IT"/>
        </w:rPr>
        <w:t xml:space="preserve"> quater, dà atto della sussistenza dei presupposti per il versamento da parte della ricorrente dell'ulteriore importo a titolo di contributo unificato pari a quello dovuto per il ricorso, a norma dello stesso art. 13, comma 1 bis.</w:t>
      </w:r>
    </w:p>
    <w:p w:rsidR="00FE11CE" w:rsidRPr="00FE11CE" w:rsidRDefault="00FE11CE" w:rsidP="00FE11CE">
      <w:pPr>
        <w:spacing w:before="195" w:after="195" w:line="240" w:lineRule="auto"/>
        <w:jc w:val="both"/>
        <w:rPr>
          <w:rFonts w:eastAsia="Times New Roman" w:cstheme="minorHAnsi"/>
          <w:lang w:eastAsia="it-IT"/>
        </w:rPr>
      </w:pPr>
      <w:r w:rsidRPr="00FE11CE">
        <w:rPr>
          <w:rFonts w:eastAsia="Times New Roman" w:cstheme="minorHAnsi"/>
          <w:lang w:eastAsia="it-IT"/>
        </w:rPr>
        <w:t>Così deciso in Roma, nella Camera di Consiglio, il 27 maggio 2019.</w:t>
      </w:r>
    </w:p>
    <w:p w:rsidR="004E6344" w:rsidRPr="00FE11CE" w:rsidRDefault="00FE11CE" w:rsidP="00FE11CE">
      <w:pPr>
        <w:spacing w:before="195" w:after="195" w:line="240" w:lineRule="auto"/>
        <w:jc w:val="both"/>
        <w:rPr>
          <w:rFonts w:eastAsia="Times New Roman" w:cstheme="minorHAnsi"/>
          <w:lang w:eastAsia="it-IT"/>
        </w:rPr>
      </w:pPr>
      <w:r w:rsidRPr="00FE11CE">
        <w:rPr>
          <w:rFonts w:eastAsia="Times New Roman" w:cstheme="minorHAnsi"/>
          <w:lang w:eastAsia="it-IT"/>
        </w:rPr>
        <w:t xml:space="preserve">Depositato in Cancelleria il 28 giugno 2019 </w:t>
      </w:r>
    </w:p>
    <w:sectPr w:rsidR="004E6344" w:rsidRPr="00FE11C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1CE"/>
    <w:rsid w:val="004E6344"/>
    <w:rsid w:val="00901761"/>
    <w:rsid w:val="00A85B45"/>
    <w:rsid w:val="00CF3B0F"/>
    <w:rsid w:val="00D4488F"/>
    <w:rsid w:val="00FE11C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1EEF5"/>
  <w15:chartTrackingRefBased/>
  <w15:docId w15:val="{24667DC8-4A50-488D-9BB2-19E0E991C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link w:val="Titolo1Carattere"/>
    <w:uiPriority w:val="9"/>
    <w:qFormat/>
    <w:rsid w:val="00FE11C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E11CE"/>
    <w:rPr>
      <w:rFonts w:ascii="Times New Roman" w:eastAsia="Times New Roman" w:hAnsi="Times New Roman" w:cs="Times New Roman"/>
      <w:b/>
      <w:bCs/>
      <w:kern w:val="36"/>
      <w:sz w:val="48"/>
      <w:szCs w:val="48"/>
      <w:lang w:eastAsia="it-IT"/>
    </w:rPr>
  </w:style>
  <w:style w:type="character" w:customStyle="1" w:styleId="sentclassl1">
    <w:name w:val="sent_class_l1"/>
    <w:basedOn w:val="Carpredefinitoparagrafo"/>
    <w:rsid w:val="00FE11CE"/>
  </w:style>
  <w:style w:type="character" w:customStyle="1" w:styleId="sentclassl2">
    <w:name w:val="sent_class_l2"/>
    <w:basedOn w:val="Carpredefinitoparagrafo"/>
    <w:rsid w:val="00FE11CE"/>
  </w:style>
  <w:style w:type="character" w:styleId="Collegamentoipertestuale">
    <w:name w:val="Hyperlink"/>
    <w:basedOn w:val="Carpredefinitoparagrafo"/>
    <w:uiPriority w:val="99"/>
    <w:semiHidden/>
    <w:unhideWhenUsed/>
    <w:rsid w:val="00FE11CE"/>
    <w:rPr>
      <w:color w:val="0000FF"/>
      <w:u w:val="single"/>
    </w:rPr>
  </w:style>
  <w:style w:type="paragraph" w:customStyle="1" w:styleId="sentcenter">
    <w:name w:val="sent_center"/>
    <w:basedOn w:val="Normale"/>
    <w:rsid w:val="00FE11C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sentnormal">
    <w:name w:val="sent_normal"/>
    <w:basedOn w:val="Normale"/>
    <w:rsid w:val="00FE11CE"/>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0487956">
      <w:bodyDiv w:val="1"/>
      <w:marLeft w:val="0"/>
      <w:marRight w:val="0"/>
      <w:marTop w:val="0"/>
      <w:marBottom w:val="0"/>
      <w:divBdr>
        <w:top w:val="none" w:sz="0" w:space="0" w:color="auto"/>
        <w:left w:val="none" w:sz="0" w:space="0" w:color="auto"/>
        <w:bottom w:val="none" w:sz="0" w:space="0" w:color="auto"/>
        <w:right w:val="none" w:sz="0" w:space="0" w:color="auto"/>
      </w:divBdr>
      <w:divsChild>
        <w:div w:id="9288493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kernel.go('doc',%7bmask:'',id:'I00YLX0000109684ART0',notxt:1%7d)" TargetMode="External"/><Relationship Id="rId13" Type="http://schemas.openxmlformats.org/officeDocument/2006/relationships/hyperlink" Target="javascript:kernel.go('doc',%7bmask:'',id:'I00YAC00005029',notxt:1%7d)" TargetMode="External"/><Relationship Id="rId18" Type="http://schemas.openxmlformats.org/officeDocument/2006/relationships/hyperlink" Target="javascript:kernel.go('doc',%7bmask:'',id:'I00YLX0000109684ART0',notxt:1%7d)" TargetMode="External"/><Relationship Id="rId26" Type="http://schemas.openxmlformats.org/officeDocument/2006/relationships/hyperlink" Target="javascript:kernel.go('doc',%7bmask:'',id:'I00YLX0000151122ART0',notxt:1%7d)" TargetMode="External"/><Relationship Id="rId3" Type="http://schemas.openxmlformats.org/officeDocument/2006/relationships/webSettings" Target="webSettings.xml"/><Relationship Id="rId21" Type="http://schemas.openxmlformats.org/officeDocument/2006/relationships/hyperlink" Target="javascript:kernel.go('doc',%7bmask:'',id:'I00YLX0000110003ART43',notxt:1%7d)" TargetMode="External"/><Relationship Id="rId7" Type="http://schemas.openxmlformats.org/officeDocument/2006/relationships/hyperlink" Target="javascript:kernel.go('doc',%7bmask:'',id:'I00YLX0000110003ART43',notxt:1%7d)" TargetMode="External"/><Relationship Id="rId12" Type="http://schemas.openxmlformats.org/officeDocument/2006/relationships/hyperlink" Target="javascript:kernel.go('show_list',%7bmask:'main',keys:'I00YAC00009951+I00YAC00009917+I00YAC00009837',stack_pos:0,notxt:1%7d)" TargetMode="External"/><Relationship Id="rId17" Type="http://schemas.openxmlformats.org/officeDocument/2006/relationships/hyperlink" Target="javascript:kernel.go('doc',%7bmask:'',id:'I00YLX0000109565ART35',notxt:1%7d)" TargetMode="External"/><Relationship Id="rId25" Type="http://schemas.openxmlformats.org/officeDocument/2006/relationships/hyperlink" Target="javascript:kernel.go('doc',%7bmask:'',id:'I00YAC00001364',notxt:1%7d)" TargetMode="External"/><Relationship Id="rId2" Type="http://schemas.openxmlformats.org/officeDocument/2006/relationships/settings" Target="settings.xml"/><Relationship Id="rId16" Type="http://schemas.openxmlformats.org/officeDocument/2006/relationships/hyperlink" Target="javascript:kernel.go('doc',%7bmask:'',id:'I00YLX0000109565ART0',notxt:1%7d)" TargetMode="External"/><Relationship Id="rId20" Type="http://schemas.openxmlformats.org/officeDocument/2006/relationships/hyperlink" Target="javascript:kernel.go('doc',%7bmask:'',id:'I00YLX0000110003ART0',notxt:1%7d)"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javascript:kernel.go('doc',%7bmask:'',id:'I00YLX0000110003ART0',notxt:1%7d)" TargetMode="External"/><Relationship Id="rId11" Type="http://schemas.openxmlformats.org/officeDocument/2006/relationships/hyperlink" Target="javascript:kernel.go('doc',%7bmask:'',id:'I00YLX0000110003ART43',notxt:1%7d)" TargetMode="External"/><Relationship Id="rId24" Type="http://schemas.openxmlformats.org/officeDocument/2006/relationships/hyperlink" Target="javascript:kernel.go('doc',%7bmask:'',id:'I00YAC00001364',notxt:1%7d)" TargetMode="External"/><Relationship Id="rId5" Type="http://schemas.openxmlformats.org/officeDocument/2006/relationships/hyperlink" Target="javascript:kernel.go('doc',%7bmask:'',id:'I00YLX0000109684ART65',notxt:1%7d)" TargetMode="External"/><Relationship Id="rId15" Type="http://schemas.openxmlformats.org/officeDocument/2006/relationships/hyperlink" Target="javascript:kernel.go('doc',%7bmask:'',id:'I00YLX0000109684ART65',notxt:1%7d)" TargetMode="External"/><Relationship Id="rId23" Type="http://schemas.openxmlformats.org/officeDocument/2006/relationships/hyperlink" Target="javascript:kernel.go('doc',%7bmask:'',id:'I00YAC00005029',notxt:1%7d)" TargetMode="External"/><Relationship Id="rId28" Type="http://schemas.openxmlformats.org/officeDocument/2006/relationships/fontTable" Target="fontTable.xml"/><Relationship Id="rId10" Type="http://schemas.openxmlformats.org/officeDocument/2006/relationships/hyperlink" Target="javascript:kernel.go('doc',%7bmask:'',id:'I00YLX0000110003ART0',notxt:1%7d)" TargetMode="External"/><Relationship Id="rId19" Type="http://schemas.openxmlformats.org/officeDocument/2006/relationships/hyperlink" Target="javascript:kernel.go('doc',%7bmask:'',id:'I00YLX0000109684ART65',notxt:1%7d)" TargetMode="External"/><Relationship Id="rId4" Type="http://schemas.openxmlformats.org/officeDocument/2006/relationships/hyperlink" Target="javascript:kernel.go('doc',%7bmask:'',id:'I00YLX0000109684ART0',notxt:1%7d)" TargetMode="External"/><Relationship Id="rId9" Type="http://schemas.openxmlformats.org/officeDocument/2006/relationships/hyperlink" Target="javascript:kernel.go('doc',%7bmask:'',id:'I00YLX0000109684ART65',notxt:1%7d)" TargetMode="External"/><Relationship Id="rId14" Type="http://schemas.openxmlformats.org/officeDocument/2006/relationships/hyperlink" Target="javascript:kernel.go('doc',%7bmask:'',id:'I00YLX0000109684ART0',notxt:1%7d)" TargetMode="External"/><Relationship Id="rId22" Type="http://schemas.openxmlformats.org/officeDocument/2006/relationships/hyperlink" Target="javascript:kernel.go('show_list',%7bmask:'main',keys:'I00YAC00009951+I00YAC00009917+I00YAC00009837',stack_pos:0,notxt:1%7d)" TargetMode="External"/><Relationship Id="rId27" Type="http://schemas.openxmlformats.org/officeDocument/2006/relationships/hyperlink" Target="javascript:kernel.go('doc',%7bmask:'',id:'I00YLX0000151122ART14',notxt:1%7d)"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1400</Words>
  <Characters>7985</Characters>
  <Application>Microsoft Office Word</Application>
  <DocSecurity>0</DocSecurity>
  <Lines>66</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 Bianchi</dc:creator>
  <cp:keywords/>
  <dc:description/>
  <cp:lastModifiedBy>Roberto Bianchi</cp:lastModifiedBy>
  <cp:revision>2</cp:revision>
  <dcterms:created xsi:type="dcterms:W3CDTF">2019-07-12T09:43:00Z</dcterms:created>
  <dcterms:modified xsi:type="dcterms:W3CDTF">2019-07-12T09:52:00Z</dcterms:modified>
</cp:coreProperties>
</file>