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18BB" w:rsidRPr="00D218BB" w:rsidRDefault="00D218BB" w:rsidP="00D218BB">
      <w:pPr>
        <w:spacing w:after="0" w:line="240" w:lineRule="auto"/>
        <w:rPr>
          <w:rFonts w:eastAsia="Times New Roman" w:cstheme="minorHAnsi"/>
          <w:b/>
          <w:bCs/>
          <w:sz w:val="24"/>
          <w:szCs w:val="24"/>
          <w:lang w:eastAsia="it-IT"/>
        </w:rPr>
      </w:pPr>
      <w:bookmarkStart w:id="0" w:name="_GoBack"/>
      <w:r w:rsidRPr="00D218BB">
        <w:rPr>
          <w:rFonts w:eastAsia="Times New Roman" w:cstheme="minorHAnsi"/>
          <w:b/>
          <w:bCs/>
          <w:sz w:val="24"/>
          <w:szCs w:val="24"/>
          <w:lang w:eastAsia="it-IT"/>
        </w:rPr>
        <w:t>Cass. civ. Sez. V, Sent., (ud. 07-06-2017) 02-08-2017, n. 19223</w:t>
      </w:r>
    </w:p>
    <w:bookmarkEnd w:id="0"/>
    <w:p w:rsidR="00D218BB" w:rsidRPr="00D218BB" w:rsidRDefault="00D218BB" w:rsidP="00D218BB">
      <w:pPr>
        <w:spacing w:before="100" w:beforeAutospacing="1" w:after="100" w:afterAutospacing="1" w:line="240" w:lineRule="auto"/>
        <w:jc w:val="center"/>
        <w:rPr>
          <w:rFonts w:eastAsia="Times New Roman" w:cstheme="minorHAnsi"/>
          <w:sz w:val="24"/>
          <w:szCs w:val="24"/>
          <w:lang w:eastAsia="it-IT"/>
        </w:rPr>
      </w:pPr>
      <w:r w:rsidRPr="00D218BB">
        <w:rPr>
          <w:rFonts w:eastAsia="Times New Roman" w:cstheme="minorHAnsi"/>
          <w:sz w:val="24"/>
          <w:szCs w:val="24"/>
          <w:lang w:eastAsia="it-IT"/>
        </w:rPr>
        <w:t>REPUBBLICA ITALIANA</w:t>
      </w:r>
    </w:p>
    <w:p w:rsidR="00D218BB" w:rsidRPr="00D218BB" w:rsidRDefault="00D218BB" w:rsidP="00D218BB">
      <w:pPr>
        <w:spacing w:before="100" w:beforeAutospacing="1" w:after="100" w:afterAutospacing="1" w:line="240" w:lineRule="auto"/>
        <w:jc w:val="center"/>
        <w:rPr>
          <w:rFonts w:eastAsia="Times New Roman" w:cstheme="minorHAnsi"/>
          <w:sz w:val="24"/>
          <w:szCs w:val="24"/>
          <w:lang w:eastAsia="it-IT"/>
        </w:rPr>
      </w:pPr>
      <w:r w:rsidRPr="00D218BB">
        <w:rPr>
          <w:rFonts w:eastAsia="Times New Roman" w:cstheme="minorHAnsi"/>
          <w:sz w:val="24"/>
          <w:szCs w:val="24"/>
          <w:lang w:eastAsia="it-IT"/>
        </w:rPr>
        <w:t>IN NOME DEL POPOLO ITALIANO</w:t>
      </w:r>
    </w:p>
    <w:p w:rsidR="00D218BB" w:rsidRPr="00D218BB" w:rsidRDefault="00D218BB" w:rsidP="00D218BB">
      <w:pPr>
        <w:spacing w:before="100" w:beforeAutospacing="1" w:after="100" w:afterAutospacing="1" w:line="240" w:lineRule="auto"/>
        <w:jc w:val="center"/>
        <w:rPr>
          <w:rFonts w:eastAsia="Times New Roman" w:cstheme="minorHAnsi"/>
          <w:sz w:val="24"/>
          <w:szCs w:val="24"/>
          <w:lang w:eastAsia="it-IT"/>
        </w:rPr>
      </w:pPr>
      <w:r w:rsidRPr="00D218BB">
        <w:rPr>
          <w:rFonts w:eastAsia="Times New Roman" w:cstheme="minorHAnsi"/>
          <w:sz w:val="24"/>
          <w:szCs w:val="24"/>
          <w:lang w:eastAsia="it-IT"/>
        </w:rPr>
        <w:t>LA CORTE SUPREMA DI CASSAZIONE</w:t>
      </w:r>
    </w:p>
    <w:p w:rsidR="00D218BB" w:rsidRPr="00D218BB" w:rsidRDefault="00D218BB" w:rsidP="00D218BB">
      <w:pPr>
        <w:spacing w:before="100" w:beforeAutospacing="1" w:after="100" w:afterAutospacing="1" w:line="240" w:lineRule="auto"/>
        <w:jc w:val="center"/>
        <w:rPr>
          <w:rFonts w:eastAsia="Times New Roman" w:cstheme="minorHAnsi"/>
          <w:sz w:val="24"/>
          <w:szCs w:val="24"/>
          <w:lang w:eastAsia="it-IT"/>
        </w:rPr>
      </w:pPr>
      <w:r w:rsidRPr="00D218BB">
        <w:rPr>
          <w:rFonts w:eastAsia="Times New Roman" w:cstheme="minorHAnsi"/>
          <w:sz w:val="24"/>
          <w:szCs w:val="24"/>
          <w:lang w:eastAsia="it-IT"/>
        </w:rPr>
        <w:t xml:space="preserve">SEZIONE TRIBUTARIA </w:t>
      </w:r>
    </w:p>
    <w:p w:rsidR="00D218BB" w:rsidRPr="00D218BB" w:rsidRDefault="00D218BB" w:rsidP="00D218BB">
      <w:pPr>
        <w:spacing w:before="100" w:beforeAutospacing="1" w:after="100" w:afterAutospacing="1" w:line="240" w:lineRule="auto"/>
        <w:jc w:val="both"/>
        <w:rPr>
          <w:rFonts w:eastAsia="Times New Roman" w:cstheme="minorHAnsi"/>
          <w:sz w:val="24"/>
          <w:szCs w:val="24"/>
          <w:lang w:eastAsia="it-IT"/>
        </w:rPr>
      </w:pPr>
      <w:r w:rsidRPr="00D218BB">
        <w:rPr>
          <w:rFonts w:eastAsia="Times New Roman" w:cstheme="minorHAnsi"/>
          <w:sz w:val="24"/>
          <w:szCs w:val="24"/>
          <w:lang w:eastAsia="it-IT"/>
        </w:rPr>
        <w:t xml:space="preserve">Composta dagli Ill.mi </w:t>
      </w:r>
      <w:proofErr w:type="spellStart"/>
      <w:r w:rsidRPr="00D218BB">
        <w:rPr>
          <w:rFonts w:eastAsia="Times New Roman" w:cstheme="minorHAnsi"/>
          <w:sz w:val="24"/>
          <w:szCs w:val="24"/>
          <w:lang w:eastAsia="it-IT"/>
        </w:rPr>
        <w:t>Sigg.ri</w:t>
      </w:r>
      <w:proofErr w:type="spellEnd"/>
      <w:r w:rsidRPr="00D218BB">
        <w:rPr>
          <w:rFonts w:eastAsia="Times New Roman" w:cstheme="minorHAnsi"/>
          <w:sz w:val="24"/>
          <w:szCs w:val="24"/>
          <w:lang w:eastAsia="it-IT"/>
        </w:rPr>
        <w:t xml:space="preserve"> Magistrati:</w:t>
      </w:r>
    </w:p>
    <w:p w:rsidR="00D218BB" w:rsidRPr="00D218BB" w:rsidRDefault="00D218BB" w:rsidP="00D218BB">
      <w:pPr>
        <w:spacing w:before="100" w:beforeAutospacing="1" w:after="100" w:afterAutospacing="1" w:line="240" w:lineRule="auto"/>
        <w:jc w:val="both"/>
        <w:rPr>
          <w:rFonts w:eastAsia="Times New Roman" w:cstheme="minorHAnsi"/>
          <w:sz w:val="24"/>
          <w:szCs w:val="24"/>
          <w:lang w:eastAsia="it-IT"/>
        </w:rPr>
      </w:pPr>
      <w:r w:rsidRPr="00D218BB">
        <w:rPr>
          <w:rFonts w:eastAsia="Times New Roman" w:cstheme="minorHAnsi"/>
          <w:sz w:val="24"/>
          <w:szCs w:val="24"/>
          <w:lang w:eastAsia="it-IT"/>
        </w:rPr>
        <w:t>Dott. CAPPABIANCA Aurelio - Presidente -</w:t>
      </w:r>
    </w:p>
    <w:p w:rsidR="00D218BB" w:rsidRPr="00D218BB" w:rsidRDefault="00D218BB" w:rsidP="00D218BB">
      <w:pPr>
        <w:spacing w:before="100" w:beforeAutospacing="1" w:after="100" w:afterAutospacing="1" w:line="240" w:lineRule="auto"/>
        <w:jc w:val="both"/>
        <w:rPr>
          <w:rFonts w:eastAsia="Times New Roman" w:cstheme="minorHAnsi"/>
          <w:sz w:val="24"/>
          <w:szCs w:val="24"/>
          <w:lang w:eastAsia="it-IT"/>
        </w:rPr>
      </w:pPr>
      <w:r w:rsidRPr="00D218BB">
        <w:rPr>
          <w:rFonts w:eastAsia="Times New Roman" w:cstheme="minorHAnsi"/>
          <w:sz w:val="24"/>
          <w:szCs w:val="24"/>
          <w:lang w:eastAsia="it-IT"/>
        </w:rPr>
        <w:t>Dott. LOCATELLI Giuseppe - Consigliere -</w:t>
      </w:r>
    </w:p>
    <w:p w:rsidR="00D218BB" w:rsidRPr="00D218BB" w:rsidRDefault="00D218BB" w:rsidP="00D218BB">
      <w:pPr>
        <w:spacing w:before="100" w:beforeAutospacing="1" w:after="100" w:afterAutospacing="1" w:line="240" w:lineRule="auto"/>
        <w:jc w:val="both"/>
        <w:rPr>
          <w:rFonts w:eastAsia="Times New Roman" w:cstheme="minorHAnsi"/>
          <w:sz w:val="24"/>
          <w:szCs w:val="24"/>
          <w:lang w:eastAsia="it-IT"/>
        </w:rPr>
      </w:pPr>
      <w:r w:rsidRPr="00D218BB">
        <w:rPr>
          <w:rFonts w:eastAsia="Times New Roman" w:cstheme="minorHAnsi"/>
          <w:sz w:val="24"/>
          <w:szCs w:val="24"/>
          <w:lang w:eastAsia="it-IT"/>
        </w:rPr>
        <w:t>Dott. TRICOMI Laura - Consigliere -</w:t>
      </w:r>
    </w:p>
    <w:p w:rsidR="00D218BB" w:rsidRPr="00D218BB" w:rsidRDefault="00D218BB" w:rsidP="00D218BB">
      <w:pPr>
        <w:spacing w:before="100" w:beforeAutospacing="1" w:after="100" w:afterAutospacing="1" w:line="240" w:lineRule="auto"/>
        <w:jc w:val="both"/>
        <w:rPr>
          <w:rFonts w:eastAsia="Times New Roman" w:cstheme="minorHAnsi"/>
          <w:sz w:val="24"/>
          <w:szCs w:val="24"/>
          <w:lang w:eastAsia="it-IT"/>
        </w:rPr>
      </w:pPr>
      <w:r w:rsidRPr="00D218BB">
        <w:rPr>
          <w:rFonts w:eastAsia="Times New Roman" w:cstheme="minorHAnsi"/>
          <w:sz w:val="24"/>
          <w:szCs w:val="24"/>
          <w:lang w:eastAsia="it-IT"/>
        </w:rPr>
        <w:t xml:space="preserve">Dott. LA TORRE Maria Enza - </w:t>
      </w:r>
      <w:proofErr w:type="spellStart"/>
      <w:r w:rsidRPr="00D218BB">
        <w:rPr>
          <w:rFonts w:eastAsia="Times New Roman" w:cstheme="minorHAnsi"/>
          <w:sz w:val="24"/>
          <w:szCs w:val="24"/>
          <w:lang w:eastAsia="it-IT"/>
        </w:rPr>
        <w:t>rel</w:t>
      </w:r>
      <w:proofErr w:type="spellEnd"/>
      <w:r w:rsidRPr="00D218BB">
        <w:rPr>
          <w:rFonts w:eastAsia="Times New Roman" w:cstheme="minorHAnsi"/>
          <w:sz w:val="24"/>
          <w:szCs w:val="24"/>
          <w:lang w:eastAsia="it-IT"/>
        </w:rPr>
        <w:t>. Consigliere -</w:t>
      </w:r>
    </w:p>
    <w:p w:rsidR="00D218BB" w:rsidRPr="00D218BB" w:rsidRDefault="00D218BB" w:rsidP="00D218BB">
      <w:pPr>
        <w:spacing w:before="100" w:beforeAutospacing="1" w:after="100" w:afterAutospacing="1" w:line="240" w:lineRule="auto"/>
        <w:jc w:val="both"/>
        <w:rPr>
          <w:rFonts w:eastAsia="Times New Roman" w:cstheme="minorHAnsi"/>
          <w:sz w:val="24"/>
          <w:szCs w:val="24"/>
          <w:lang w:eastAsia="it-IT"/>
        </w:rPr>
      </w:pPr>
      <w:r w:rsidRPr="00D218BB">
        <w:rPr>
          <w:rFonts w:eastAsia="Times New Roman" w:cstheme="minorHAnsi"/>
          <w:sz w:val="24"/>
          <w:szCs w:val="24"/>
          <w:lang w:eastAsia="it-IT"/>
        </w:rPr>
        <w:t>Dott. BERNAZZANI Paolo - Consigliere -</w:t>
      </w:r>
    </w:p>
    <w:p w:rsidR="00D218BB" w:rsidRPr="00D218BB" w:rsidRDefault="00D218BB" w:rsidP="00D218BB">
      <w:pPr>
        <w:spacing w:before="100" w:beforeAutospacing="1" w:after="100" w:afterAutospacing="1" w:line="240" w:lineRule="auto"/>
        <w:jc w:val="both"/>
        <w:rPr>
          <w:rFonts w:eastAsia="Times New Roman" w:cstheme="minorHAnsi"/>
          <w:sz w:val="24"/>
          <w:szCs w:val="24"/>
          <w:lang w:eastAsia="it-IT"/>
        </w:rPr>
      </w:pPr>
      <w:r w:rsidRPr="00D218BB">
        <w:rPr>
          <w:rFonts w:eastAsia="Times New Roman" w:cstheme="minorHAnsi"/>
          <w:sz w:val="24"/>
          <w:szCs w:val="24"/>
          <w:lang w:eastAsia="it-IT"/>
        </w:rPr>
        <w:t>ha pronunciato la seguente:</w:t>
      </w:r>
    </w:p>
    <w:p w:rsidR="00D218BB" w:rsidRPr="00D218BB" w:rsidRDefault="00D218BB" w:rsidP="00D218BB">
      <w:pPr>
        <w:spacing w:before="100" w:beforeAutospacing="1" w:after="100" w:afterAutospacing="1" w:line="240" w:lineRule="auto"/>
        <w:jc w:val="center"/>
        <w:rPr>
          <w:rFonts w:eastAsia="Times New Roman" w:cstheme="minorHAnsi"/>
          <w:sz w:val="24"/>
          <w:szCs w:val="24"/>
          <w:lang w:eastAsia="it-IT"/>
        </w:rPr>
      </w:pPr>
      <w:r w:rsidRPr="00D218BB">
        <w:rPr>
          <w:rFonts w:eastAsia="Times New Roman" w:cstheme="minorHAnsi"/>
          <w:sz w:val="24"/>
          <w:szCs w:val="24"/>
          <w:lang w:eastAsia="it-IT"/>
        </w:rPr>
        <w:t>SENTENZA</w:t>
      </w:r>
    </w:p>
    <w:p w:rsidR="00D218BB" w:rsidRPr="00D218BB" w:rsidRDefault="00D218BB" w:rsidP="00D218BB">
      <w:pPr>
        <w:spacing w:before="100" w:beforeAutospacing="1" w:after="100" w:afterAutospacing="1" w:line="240" w:lineRule="auto"/>
        <w:jc w:val="both"/>
        <w:rPr>
          <w:rFonts w:eastAsia="Times New Roman" w:cstheme="minorHAnsi"/>
          <w:sz w:val="24"/>
          <w:szCs w:val="24"/>
          <w:lang w:eastAsia="it-IT"/>
        </w:rPr>
      </w:pPr>
      <w:r w:rsidRPr="00D218BB">
        <w:rPr>
          <w:rFonts w:eastAsia="Times New Roman" w:cstheme="minorHAnsi"/>
          <w:sz w:val="24"/>
          <w:szCs w:val="24"/>
          <w:lang w:eastAsia="it-IT"/>
        </w:rPr>
        <w:t>sul ricorso 1141-2011 proposto da:</w:t>
      </w:r>
    </w:p>
    <w:p w:rsidR="00D218BB" w:rsidRPr="00D218BB" w:rsidRDefault="00D218BB" w:rsidP="00D218BB">
      <w:pPr>
        <w:spacing w:before="100" w:beforeAutospacing="1" w:after="100" w:afterAutospacing="1" w:line="240" w:lineRule="auto"/>
        <w:jc w:val="both"/>
        <w:rPr>
          <w:rFonts w:eastAsia="Times New Roman" w:cstheme="minorHAnsi"/>
          <w:sz w:val="24"/>
          <w:szCs w:val="24"/>
          <w:lang w:eastAsia="it-IT"/>
        </w:rPr>
      </w:pPr>
      <w:r w:rsidRPr="00D218BB">
        <w:rPr>
          <w:rFonts w:eastAsia="Times New Roman" w:cstheme="minorHAnsi"/>
          <w:sz w:val="24"/>
          <w:szCs w:val="24"/>
          <w:lang w:eastAsia="it-IT"/>
        </w:rPr>
        <w:t>AGENZIA DELLE ENTRATE, in persona del Direttore pro tempore, elettivamente domiciliato in ROMA. VIA DEI PORTOGHESI 12, presso l'AVVOCATURA GENERALE DELLO STATO, che lo rappresenta e difende;</w:t>
      </w:r>
    </w:p>
    <w:p w:rsidR="00D218BB" w:rsidRPr="00D218BB" w:rsidRDefault="00D218BB" w:rsidP="00D218BB">
      <w:pPr>
        <w:spacing w:before="100" w:beforeAutospacing="1" w:after="100" w:afterAutospacing="1" w:line="240" w:lineRule="auto"/>
        <w:jc w:val="both"/>
        <w:rPr>
          <w:rFonts w:eastAsia="Times New Roman" w:cstheme="minorHAnsi"/>
          <w:sz w:val="24"/>
          <w:szCs w:val="24"/>
          <w:lang w:eastAsia="it-IT"/>
        </w:rPr>
      </w:pPr>
      <w:r w:rsidRPr="00D218BB">
        <w:rPr>
          <w:rFonts w:eastAsia="Times New Roman" w:cstheme="minorHAnsi"/>
          <w:sz w:val="24"/>
          <w:szCs w:val="24"/>
          <w:lang w:eastAsia="it-IT"/>
        </w:rPr>
        <w:t>- ricorrente -</w:t>
      </w:r>
    </w:p>
    <w:p w:rsidR="00D218BB" w:rsidRPr="00D218BB" w:rsidRDefault="00D218BB" w:rsidP="00D218BB">
      <w:pPr>
        <w:spacing w:before="100" w:beforeAutospacing="1" w:after="100" w:afterAutospacing="1" w:line="240" w:lineRule="auto"/>
        <w:jc w:val="center"/>
        <w:rPr>
          <w:rFonts w:eastAsia="Times New Roman" w:cstheme="minorHAnsi"/>
          <w:sz w:val="24"/>
          <w:szCs w:val="24"/>
          <w:lang w:eastAsia="it-IT"/>
        </w:rPr>
      </w:pPr>
      <w:r w:rsidRPr="00D218BB">
        <w:rPr>
          <w:rFonts w:eastAsia="Times New Roman" w:cstheme="minorHAnsi"/>
          <w:sz w:val="24"/>
          <w:szCs w:val="24"/>
          <w:lang w:eastAsia="it-IT"/>
        </w:rPr>
        <w:t>contro</w:t>
      </w:r>
    </w:p>
    <w:p w:rsidR="00D218BB" w:rsidRPr="00D218BB" w:rsidRDefault="00D218BB" w:rsidP="00D218BB">
      <w:pPr>
        <w:spacing w:before="100" w:beforeAutospacing="1" w:after="100" w:afterAutospacing="1" w:line="240" w:lineRule="auto"/>
        <w:jc w:val="both"/>
        <w:rPr>
          <w:rFonts w:eastAsia="Times New Roman" w:cstheme="minorHAnsi"/>
          <w:sz w:val="24"/>
          <w:szCs w:val="24"/>
          <w:lang w:eastAsia="it-IT"/>
        </w:rPr>
      </w:pPr>
      <w:r w:rsidRPr="00D218BB">
        <w:rPr>
          <w:rFonts w:eastAsia="Times New Roman" w:cstheme="minorHAnsi"/>
          <w:sz w:val="24"/>
          <w:szCs w:val="24"/>
          <w:lang w:eastAsia="it-IT"/>
        </w:rPr>
        <w:t>S.G., domiciliato in ROMA PIAZZA CAVOUR presso la cancelleria della CORTE DI CASSAZIONE, rappresentato e difeso dall'Avvocato FABIO PACE con studio in MILANO C.SO PORTA ROMANA 89/6 (avviso postale ex art. 135), giusta delega a margine;</w:t>
      </w:r>
    </w:p>
    <w:p w:rsidR="00D218BB" w:rsidRPr="00D218BB" w:rsidRDefault="00D218BB" w:rsidP="00D218BB">
      <w:pPr>
        <w:spacing w:before="100" w:beforeAutospacing="1" w:after="100" w:afterAutospacing="1" w:line="240" w:lineRule="auto"/>
        <w:jc w:val="both"/>
        <w:rPr>
          <w:rFonts w:eastAsia="Times New Roman" w:cstheme="minorHAnsi"/>
          <w:sz w:val="24"/>
          <w:szCs w:val="24"/>
          <w:lang w:eastAsia="it-IT"/>
        </w:rPr>
      </w:pPr>
      <w:r w:rsidRPr="00D218BB">
        <w:rPr>
          <w:rFonts w:eastAsia="Times New Roman" w:cstheme="minorHAnsi"/>
          <w:sz w:val="24"/>
          <w:szCs w:val="24"/>
          <w:lang w:eastAsia="it-IT"/>
        </w:rPr>
        <w:t>- controricorrente - avverso la sentenza n. 142/2009 della COMM.TRIB.REG. della LOMBARDIA depositata il 13/11/2009;</w:t>
      </w:r>
    </w:p>
    <w:p w:rsidR="00D218BB" w:rsidRPr="00D218BB" w:rsidRDefault="00D218BB" w:rsidP="00D218BB">
      <w:pPr>
        <w:spacing w:before="100" w:beforeAutospacing="1" w:after="100" w:afterAutospacing="1" w:line="240" w:lineRule="auto"/>
        <w:jc w:val="both"/>
        <w:rPr>
          <w:rFonts w:eastAsia="Times New Roman" w:cstheme="minorHAnsi"/>
          <w:sz w:val="24"/>
          <w:szCs w:val="24"/>
          <w:lang w:eastAsia="it-IT"/>
        </w:rPr>
      </w:pPr>
      <w:r w:rsidRPr="00D218BB">
        <w:rPr>
          <w:rFonts w:eastAsia="Times New Roman" w:cstheme="minorHAnsi"/>
          <w:sz w:val="24"/>
          <w:szCs w:val="24"/>
          <w:lang w:eastAsia="it-IT"/>
        </w:rPr>
        <w:t>udita la relazione della causa svolta nella pubblica udienza del 07/06/2017 dal Consigliere Dott. MARIA ENZA LA TORRE;</w:t>
      </w:r>
    </w:p>
    <w:p w:rsidR="00D218BB" w:rsidRPr="00D218BB" w:rsidRDefault="00D218BB" w:rsidP="00D218BB">
      <w:pPr>
        <w:spacing w:before="100" w:beforeAutospacing="1" w:after="100" w:afterAutospacing="1" w:line="240" w:lineRule="auto"/>
        <w:jc w:val="both"/>
        <w:rPr>
          <w:rFonts w:eastAsia="Times New Roman" w:cstheme="minorHAnsi"/>
          <w:sz w:val="24"/>
          <w:szCs w:val="24"/>
          <w:lang w:eastAsia="it-IT"/>
        </w:rPr>
      </w:pPr>
      <w:r w:rsidRPr="00D218BB">
        <w:rPr>
          <w:rFonts w:eastAsia="Times New Roman" w:cstheme="minorHAnsi"/>
          <w:sz w:val="24"/>
          <w:szCs w:val="24"/>
          <w:lang w:eastAsia="it-IT"/>
        </w:rPr>
        <w:t>udito il P.M. in persona del Sostituto Procuratore Generale Dott. DEL CORE Sergio, che ha concluso in via principale rigetto e in subordine trasmissione atti al chiesto l'accoglimento;</w:t>
      </w:r>
    </w:p>
    <w:p w:rsidR="00D218BB" w:rsidRPr="00D218BB" w:rsidRDefault="00D218BB" w:rsidP="00D218BB">
      <w:pPr>
        <w:spacing w:before="100" w:beforeAutospacing="1" w:after="100" w:afterAutospacing="1" w:line="240" w:lineRule="auto"/>
        <w:jc w:val="both"/>
        <w:rPr>
          <w:rFonts w:eastAsia="Times New Roman" w:cstheme="minorHAnsi"/>
          <w:b/>
          <w:bCs/>
          <w:sz w:val="24"/>
          <w:szCs w:val="24"/>
          <w:lang w:eastAsia="it-IT"/>
        </w:rPr>
      </w:pPr>
      <w:r w:rsidRPr="00D218BB">
        <w:rPr>
          <w:rFonts w:eastAsia="Times New Roman" w:cstheme="minorHAnsi"/>
          <w:sz w:val="24"/>
          <w:szCs w:val="24"/>
          <w:lang w:eastAsia="it-IT"/>
        </w:rPr>
        <w:lastRenderedPageBreak/>
        <w:t>udito per il controricorrente l'Avvocato PACE che ha chiesto il rigetto.</w:t>
      </w:r>
      <w:bookmarkStart w:id="1" w:name="fatto"/>
      <w:r w:rsidRPr="00D218BB">
        <w:rPr>
          <w:rFonts w:eastAsia="Times New Roman" w:cstheme="minorHAnsi"/>
          <w:sz w:val="24"/>
          <w:szCs w:val="24"/>
          <w:lang w:eastAsia="it-IT"/>
        </w:rPr>
        <w:fldChar w:fldCharType="begin"/>
      </w:r>
      <w:r w:rsidRPr="00D218BB">
        <w:rPr>
          <w:rFonts w:eastAsia="Times New Roman" w:cstheme="minorHAnsi"/>
          <w:sz w:val="24"/>
          <w:szCs w:val="24"/>
          <w:lang w:eastAsia="it-IT"/>
        </w:rPr>
        <w:instrText xml:space="preserve"> HYPERLINK "javascript:LinkReplacer.scroll('fatto_up')" </w:instrText>
      </w:r>
      <w:r w:rsidRPr="00D218BB">
        <w:rPr>
          <w:rFonts w:eastAsia="Times New Roman" w:cstheme="minorHAnsi"/>
          <w:sz w:val="24"/>
          <w:szCs w:val="24"/>
          <w:lang w:eastAsia="it-IT"/>
        </w:rPr>
        <w:fldChar w:fldCharType="separate"/>
      </w:r>
    </w:p>
    <w:p w:rsidR="00D218BB" w:rsidRPr="00D218BB" w:rsidRDefault="00D218BB" w:rsidP="00D218BB">
      <w:pPr>
        <w:spacing w:before="800" w:after="100" w:afterAutospacing="1" w:line="240" w:lineRule="auto"/>
        <w:jc w:val="center"/>
        <w:outlineLvl w:val="0"/>
        <w:rPr>
          <w:rFonts w:eastAsia="Times New Roman" w:cstheme="minorHAnsi"/>
          <w:sz w:val="24"/>
          <w:szCs w:val="24"/>
          <w:lang w:eastAsia="it-IT"/>
        </w:rPr>
      </w:pPr>
      <w:r w:rsidRPr="00D218BB">
        <w:rPr>
          <w:rFonts w:eastAsia="Times New Roman" w:cstheme="minorHAnsi"/>
          <w:b/>
          <w:bCs/>
          <w:kern w:val="36"/>
          <w:sz w:val="24"/>
          <w:szCs w:val="24"/>
          <w:u w:val="single"/>
          <w:lang w:eastAsia="it-IT"/>
        </w:rPr>
        <w:t>Svolgimento del processo</w:t>
      </w:r>
      <w:r w:rsidRPr="00D218BB">
        <w:rPr>
          <w:rFonts w:eastAsia="Times New Roman" w:cstheme="minorHAnsi"/>
          <w:sz w:val="24"/>
          <w:szCs w:val="24"/>
          <w:lang w:eastAsia="it-IT"/>
        </w:rPr>
        <w:fldChar w:fldCharType="end"/>
      </w:r>
      <w:bookmarkEnd w:id="1"/>
    </w:p>
    <w:p w:rsidR="00D218BB" w:rsidRPr="00D218BB" w:rsidRDefault="00D218BB" w:rsidP="00D218BB">
      <w:pPr>
        <w:spacing w:before="100" w:beforeAutospacing="1" w:after="100" w:afterAutospacing="1" w:line="240" w:lineRule="auto"/>
        <w:jc w:val="both"/>
        <w:rPr>
          <w:rFonts w:eastAsia="Times New Roman" w:cstheme="minorHAnsi"/>
          <w:sz w:val="24"/>
          <w:szCs w:val="24"/>
          <w:lang w:eastAsia="it-IT"/>
        </w:rPr>
      </w:pPr>
      <w:r w:rsidRPr="00D218BB">
        <w:rPr>
          <w:rFonts w:eastAsia="Times New Roman" w:cstheme="minorHAnsi"/>
          <w:sz w:val="24"/>
          <w:szCs w:val="24"/>
          <w:lang w:eastAsia="it-IT"/>
        </w:rPr>
        <w:t xml:space="preserve">L'Agenzia delle entrate ricorre con unico motivo, per la cassazione della sentenza della C.T.R. della Lombardia, n. 142/20/09 </w:t>
      </w:r>
      <w:proofErr w:type="spellStart"/>
      <w:r w:rsidRPr="00D218BB">
        <w:rPr>
          <w:rFonts w:eastAsia="Times New Roman" w:cstheme="minorHAnsi"/>
          <w:sz w:val="24"/>
          <w:szCs w:val="24"/>
          <w:lang w:eastAsia="it-IT"/>
        </w:rPr>
        <w:t>dep</w:t>
      </w:r>
      <w:proofErr w:type="spellEnd"/>
      <w:r w:rsidRPr="00D218BB">
        <w:rPr>
          <w:rFonts w:eastAsia="Times New Roman" w:cstheme="minorHAnsi"/>
          <w:sz w:val="24"/>
          <w:szCs w:val="24"/>
          <w:lang w:eastAsia="it-IT"/>
        </w:rPr>
        <w:t>. il 13 novembre 2009, che su impugnazione da parte di B.G. di un avviso di accertamento sintetico per Irpef anno 1999, derivante dalla rilevazione di incrementi patrimoniali effettuati negli anni 2002/2003, indici di maggiore capacità contributiva (</w:t>
      </w:r>
      <w:hyperlink r:id="rId4" w:history="1">
        <w:r w:rsidRPr="00D218BB">
          <w:rPr>
            <w:rFonts w:eastAsia="Times New Roman" w:cstheme="minorHAnsi"/>
            <w:b/>
            <w:bCs/>
            <w:sz w:val="24"/>
            <w:szCs w:val="24"/>
            <w:lang w:eastAsia="it-IT"/>
          </w:rPr>
          <w:t>D.P.R. n. 600 del 1973</w:t>
        </w:r>
      </w:hyperlink>
      <w:r w:rsidRPr="00D218BB">
        <w:rPr>
          <w:rFonts w:eastAsia="Times New Roman" w:cstheme="minorHAnsi"/>
          <w:sz w:val="24"/>
          <w:szCs w:val="24"/>
          <w:lang w:eastAsia="it-IT"/>
        </w:rPr>
        <w:t xml:space="preserve">, ex art. 38, commi 4 e 5), confermando la decisione di primo grado ha respinto l'appello dell'Ufficio. </w:t>
      </w:r>
      <w:proofErr w:type="spellStart"/>
      <w:r w:rsidRPr="00D218BB">
        <w:rPr>
          <w:rFonts w:eastAsia="Times New Roman" w:cstheme="minorHAnsi"/>
          <w:sz w:val="24"/>
          <w:szCs w:val="24"/>
          <w:lang w:eastAsia="it-IT"/>
        </w:rPr>
        <w:t>Trattavasi</w:t>
      </w:r>
      <w:proofErr w:type="spellEnd"/>
      <w:r w:rsidRPr="00D218BB">
        <w:rPr>
          <w:rFonts w:eastAsia="Times New Roman" w:cstheme="minorHAnsi"/>
          <w:sz w:val="24"/>
          <w:szCs w:val="24"/>
          <w:lang w:eastAsia="it-IT"/>
        </w:rPr>
        <w:t xml:space="preserve"> in particolare di d'incrementi patrimoniali relativi ad acquisti immobiliari effettuati dai figli del B. </w:t>
      </w:r>
      <w:proofErr w:type="gramStart"/>
      <w:r w:rsidRPr="00D218BB">
        <w:rPr>
          <w:rFonts w:eastAsia="Times New Roman" w:cstheme="minorHAnsi"/>
          <w:sz w:val="24"/>
          <w:szCs w:val="24"/>
          <w:lang w:eastAsia="it-IT"/>
        </w:rPr>
        <w:t>( C.</w:t>
      </w:r>
      <w:proofErr w:type="gramEnd"/>
      <w:r w:rsidRPr="00D218BB">
        <w:rPr>
          <w:rFonts w:eastAsia="Times New Roman" w:cstheme="minorHAnsi"/>
          <w:sz w:val="24"/>
          <w:szCs w:val="24"/>
          <w:lang w:eastAsia="it-IT"/>
        </w:rPr>
        <w:t xml:space="preserve"> e </w:t>
      </w:r>
      <w:proofErr w:type="spellStart"/>
      <w:r w:rsidRPr="00D218BB">
        <w:rPr>
          <w:rFonts w:eastAsia="Times New Roman" w:cstheme="minorHAnsi"/>
          <w:sz w:val="24"/>
          <w:szCs w:val="24"/>
          <w:lang w:eastAsia="it-IT"/>
        </w:rPr>
        <w:t>Gi</w:t>
      </w:r>
      <w:proofErr w:type="spellEnd"/>
      <w:r w:rsidRPr="00D218BB">
        <w:rPr>
          <w:rFonts w:eastAsia="Times New Roman" w:cstheme="minorHAnsi"/>
          <w:sz w:val="24"/>
          <w:szCs w:val="24"/>
          <w:lang w:eastAsia="it-IT"/>
        </w:rPr>
        <w:t>.), con provvista fornita dal padre, derivante da disinvestimenti di titoli.</w:t>
      </w:r>
    </w:p>
    <w:p w:rsidR="00D218BB" w:rsidRPr="00D218BB" w:rsidRDefault="00D218BB" w:rsidP="00D218BB">
      <w:pPr>
        <w:spacing w:before="100" w:beforeAutospacing="1" w:after="100" w:afterAutospacing="1" w:line="240" w:lineRule="auto"/>
        <w:jc w:val="both"/>
        <w:rPr>
          <w:rFonts w:eastAsia="Times New Roman" w:cstheme="minorHAnsi"/>
          <w:sz w:val="24"/>
          <w:szCs w:val="24"/>
          <w:lang w:eastAsia="it-IT"/>
        </w:rPr>
      </w:pPr>
      <w:r w:rsidRPr="00D218BB">
        <w:rPr>
          <w:rFonts w:eastAsia="Times New Roman" w:cstheme="minorHAnsi"/>
          <w:sz w:val="24"/>
          <w:szCs w:val="24"/>
          <w:lang w:eastAsia="it-IT"/>
        </w:rPr>
        <w:t>La C.T.R. ha ritenuto illegittimo l'accertamento sintetico (</w:t>
      </w:r>
      <w:hyperlink r:id="rId5" w:history="1">
        <w:r w:rsidRPr="00D218BB">
          <w:rPr>
            <w:rFonts w:eastAsia="Times New Roman" w:cstheme="minorHAnsi"/>
            <w:b/>
            <w:bCs/>
            <w:sz w:val="24"/>
            <w:szCs w:val="24"/>
            <w:lang w:eastAsia="it-IT"/>
          </w:rPr>
          <w:t>D.P.R. n. 600 del 1973</w:t>
        </w:r>
      </w:hyperlink>
      <w:r w:rsidRPr="00D218BB">
        <w:rPr>
          <w:rFonts w:eastAsia="Times New Roman" w:cstheme="minorHAnsi"/>
          <w:sz w:val="24"/>
          <w:szCs w:val="24"/>
          <w:lang w:eastAsia="it-IT"/>
        </w:rPr>
        <w:t xml:space="preserve">, ex art. 38), avendo l'Ufficio preteso che il contribuente provasse l'inesistenza o la minor misura del reddito presunto sulla base del c.d. redditometro e che la disponibilità patrimoniale non dipendesse da redditi prodotti nell'anno, invece di attenersi al diverso principio, che consente l'accertamento presuntivo in applicazione del redditometro, </w:t>
      </w:r>
      <w:proofErr w:type="spellStart"/>
      <w:r w:rsidRPr="00D218BB">
        <w:rPr>
          <w:rFonts w:eastAsia="Times New Roman" w:cstheme="minorHAnsi"/>
          <w:sz w:val="24"/>
          <w:szCs w:val="24"/>
          <w:lang w:eastAsia="it-IT"/>
        </w:rPr>
        <w:t>purchè</w:t>
      </w:r>
      <w:proofErr w:type="spellEnd"/>
      <w:r w:rsidRPr="00D218BB">
        <w:rPr>
          <w:rFonts w:eastAsia="Times New Roman" w:cstheme="minorHAnsi"/>
          <w:sz w:val="24"/>
          <w:szCs w:val="24"/>
          <w:lang w:eastAsia="it-IT"/>
        </w:rPr>
        <w:t xml:space="preserve"> il reddito complessivo netto accertabile "si discosti per almeno un quarto da quello dichiarato"; e per avere il contribuente provato che il reddito accertato non esisteva e che la disponibilità patrimoniale dipendeva da risparmi accumulati nel tempo, in periodo antecedente al quinquennio e non da redditi prodotti nell'anno.</w:t>
      </w:r>
    </w:p>
    <w:p w:rsidR="00D218BB" w:rsidRPr="00D218BB" w:rsidRDefault="00D218BB" w:rsidP="00D218BB">
      <w:pPr>
        <w:spacing w:before="100" w:beforeAutospacing="1" w:after="100" w:afterAutospacing="1" w:line="240" w:lineRule="auto"/>
        <w:jc w:val="both"/>
        <w:rPr>
          <w:rFonts w:eastAsia="Times New Roman" w:cstheme="minorHAnsi"/>
          <w:b/>
          <w:bCs/>
          <w:sz w:val="24"/>
          <w:szCs w:val="24"/>
          <w:lang w:eastAsia="it-IT"/>
        </w:rPr>
      </w:pPr>
      <w:proofErr w:type="spellStart"/>
      <w:r w:rsidRPr="00D218BB">
        <w:rPr>
          <w:rFonts w:eastAsia="Times New Roman" w:cstheme="minorHAnsi"/>
          <w:sz w:val="24"/>
          <w:szCs w:val="24"/>
          <w:lang w:eastAsia="it-IT"/>
        </w:rPr>
        <w:t>b.g</w:t>
      </w:r>
      <w:proofErr w:type="spellEnd"/>
      <w:r w:rsidRPr="00D218BB">
        <w:rPr>
          <w:rFonts w:eastAsia="Times New Roman" w:cstheme="minorHAnsi"/>
          <w:sz w:val="24"/>
          <w:szCs w:val="24"/>
          <w:lang w:eastAsia="it-IT"/>
        </w:rPr>
        <w:t xml:space="preserve">. si costituisce con controricorso. </w:t>
      </w:r>
      <w:bookmarkStart w:id="2" w:name="diritto"/>
      <w:r w:rsidRPr="00D218BB">
        <w:rPr>
          <w:rFonts w:eastAsia="Times New Roman" w:cstheme="minorHAnsi"/>
          <w:sz w:val="24"/>
          <w:szCs w:val="24"/>
          <w:lang w:eastAsia="it-IT"/>
        </w:rPr>
        <w:fldChar w:fldCharType="begin"/>
      </w:r>
      <w:r w:rsidRPr="00D218BB">
        <w:rPr>
          <w:rFonts w:eastAsia="Times New Roman" w:cstheme="minorHAnsi"/>
          <w:sz w:val="24"/>
          <w:szCs w:val="24"/>
          <w:lang w:eastAsia="it-IT"/>
        </w:rPr>
        <w:instrText xml:space="preserve"> HYPERLINK "javascript:LinkReplacer.scroll('diritto_up')" </w:instrText>
      </w:r>
      <w:r w:rsidRPr="00D218BB">
        <w:rPr>
          <w:rFonts w:eastAsia="Times New Roman" w:cstheme="minorHAnsi"/>
          <w:sz w:val="24"/>
          <w:szCs w:val="24"/>
          <w:lang w:eastAsia="it-IT"/>
        </w:rPr>
        <w:fldChar w:fldCharType="separate"/>
      </w:r>
    </w:p>
    <w:p w:rsidR="00D218BB" w:rsidRPr="00D218BB" w:rsidRDefault="00D218BB" w:rsidP="00D218BB">
      <w:pPr>
        <w:spacing w:before="800" w:after="100" w:afterAutospacing="1" w:line="240" w:lineRule="auto"/>
        <w:jc w:val="center"/>
        <w:outlineLvl w:val="0"/>
        <w:rPr>
          <w:rFonts w:eastAsia="Times New Roman" w:cstheme="minorHAnsi"/>
          <w:b/>
          <w:bCs/>
          <w:kern w:val="36"/>
          <w:sz w:val="24"/>
          <w:szCs w:val="24"/>
          <w:u w:val="single"/>
          <w:lang w:eastAsia="it-IT"/>
        </w:rPr>
      </w:pPr>
      <w:r w:rsidRPr="00D218BB">
        <w:rPr>
          <w:rFonts w:eastAsia="Times New Roman" w:cstheme="minorHAnsi"/>
          <w:b/>
          <w:bCs/>
          <w:kern w:val="36"/>
          <w:sz w:val="24"/>
          <w:szCs w:val="24"/>
          <w:u w:val="single"/>
          <w:lang w:eastAsia="it-IT"/>
        </w:rPr>
        <w:t>Motivi della decisione</w:t>
      </w:r>
    </w:p>
    <w:p w:rsidR="00D218BB" w:rsidRPr="00D218BB" w:rsidRDefault="00D218BB" w:rsidP="00D218BB">
      <w:pPr>
        <w:spacing w:after="0" w:line="240" w:lineRule="auto"/>
        <w:rPr>
          <w:rFonts w:eastAsia="Times New Roman" w:cstheme="minorHAnsi"/>
          <w:sz w:val="24"/>
          <w:szCs w:val="24"/>
          <w:lang w:eastAsia="it-IT"/>
        </w:rPr>
      </w:pPr>
      <w:r w:rsidRPr="00D218BB">
        <w:rPr>
          <w:rFonts w:eastAsia="Times New Roman" w:cstheme="minorHAnsi"/>
          <w:sz w:val="24"/>
          <w:szCs w:val="24"/>
          <w:lang w:eastAsia="it-IT"/>
        </w:rPr>
        <w:fldChar w:fldCharType="end"/>
      </w:r>
      <w:bookmarkEnd w:id="2"/>
      <w:r w:rsidRPr="00D218BB">
        <w:rPr>
          <w:rFonts w:eastAsia="Times New Roman" w:cstheme="minorHAnsi"/>
          <w:sz w:val="24"/>
          <w:szCs w:val="24"/>
          <w:lang w:eastAsia="it-IT"/>
        </w:rPr>
        <w:t xml:space="preserve">1. Con l'unico motivo del ricorso l'Agenzia delle entrate deduce violazione e falsa applicazione del D.P.R. n. 600 del 1973, art. 38 e degli </w:t>
      </w:r>
      <w:hyperlink r:id="rId6" w:history="1">
        <w:r w:rsidRPr="00D218BB">
          <w:rPr>
            <w:rFonts w:eastAsia="Times New Roman" w:cstheme="minorHAnsi"/>
            <w:b/>
            <w:bCs/>
            <w:sz w:val="24"/>
            <w:szCs w:val="24"/>
            <w:lang w:eastAsia="it-IT"/>
          </w:rPr>
          <w:t>artt. 2697 e 2729 c.c.</w:t>
        </w:r>
      </w:hyperlink>
      <w:r w:rsidRPr="00D218BB">
        <w:rPr>
          <w:rFonts w:eastAsia="Times New Roman" w:cstheme="minorHAnsi"/>
          <w:sz w:val="24"/>
          <w:szCs w:val="24"/>
          <w:lang w:eastAsia="it-IT"/>
        </w:rPr>
        <w:t xml:space="preserve">, per avere la C.T.R. erroneamente ritenuto che la prova fornita dal contribuente - di avere incassato nel 2002 un rimborso di un finanziamento e di avere nello stesso anno disinvestito dei titoli - costituisca circostanza idonea a vincere la presunzione legale di cui al </w:t>
      </w:r>
      <w:hyperlink r:id="rId7" w:history="1">
        <w:r w:rsidRPr="00D218BB">
          <w:rPr>
            <w:rFonts w:eastAsia="Times New Roman" w:cstheme="minorHAnsi"/>
            <w:b/>
            <w:bCs/>
            <w:sz w:val="24"/>
            <w:szCs w:val="24"/>
            <w:lang w:eastAsia="it-IT"/>
          </w:rPr>
          <w:t>D.P.R. n. 600 del 1973,</w:t>
        </w:r>
      </w:hyperlink>
      <w:r w:rsidRPr="00D218BB">
        <w:rPr>
          <w:rFonts w:eastAsia="Times New Roman" w:cstheme="minorHAnsi"/>
          <w:sz w:val="24"/>
          <w:szCs w:val="24"/>
          <w:lang w:eastAsia="it-IT"/>
        </w:rPr>
        <w:t xml:space="preserve"> art. </w:t>
      </w:r>
      <w:hyperlink r:id="rId8" w:history="1">
        <w:r w:rsidRPr="00D218BB">
          <w:rPr>
            <w:rFonts w:eastAsia="Times New Roman" w:cstheme="minorHAnsi"/>
            <w:b/>
            <w:bCs/>
            <w:sz w:val="24"/>
            <w:szCs w:val="24"/>
            <w:lang w:eastAsia="it-IT"/>
          </w:rPr>
          <w:t>38</w:t>
        </w:r>
      </w:hyperlink>
      <w:r w:rsidRPr="00D218BB">
        <w:rPr>
          <w:rFonts w:eastAsia="Times New Roman" w:cstheme="minorHAnsi"/>
          <w:sz w:val="24"/>
          <w:szCs w:val="24"/>
          <w:lang w:eastAsia="it-IT"/>
        </w:rPr>
        <w:t xml:space="preserve">, occorrendo invece la prova che le somme indicate non costituiscono redditi esenti o redditi soggetti a ritenuta alla fonte, </w:t>
      </w:r>
      <w:proofErr w:type="spellStart"/>
      <w:r w:rsidRPr="00D218BB">
        <w:rPr>
          <w:rFonts w:eastAsia="Times New Roman" w:cstheme="minorHAnsi"/>
          <w:sz w:val="24"/>
          <w:szCs w:val="24"/>
          <w:lang w:eastAsia="it-IT"/>
        </w:rPr>
        <w:t>nonchè</w:t>
      </w:r>
      <w:proofErr w:type="spellEnd"/>
      <w:r w:rsidRPr="00D218BB">
        <w:rPr>
          <w:rFonts w:eastAsia="Times New Roman" w:cstheme="minorHAnsi"/>
          <w:sz w:val="24"/>
          <w:szCs w:val="24"/>
          <w:lang w:eastAsia="it-IT"/>
        </w:rPr>
        <w:t xml:space="preserve"> la prova dell'effettivo impiego delle indicate somme per l'acquisto degli appartamenti.</w:t>
      </w:r>
    </w:p>
    <w:p w:rsidR="00D218BB" w:rsidRPr="00D218BB" w:rsidRDefault="00D218BB" w:rsidP="00D218BB">
      <w:pPr>
        <w:spacing w:before="100" w:beforeAutospacing="1" w:after="100" w:afterAutospacing="1" w:line="240" w:lineRule="auto"/>
        <w:jc w:val="both"/>
        <w:rPr>
          <w:rFonts w:eastAsia="Times New Roman" w:cstheme="minorHAnsi"/>
          <w:sz w:val="24"/>
          <w:szCs w:val="24"/>
          <w:lang w:eastAsia="it-IT"/>
        </w:rPr>
      </w:pPr>
      <w:r w:rsidRPr="00D218BB">
        <w:rPr>
          <w:rFonts w:eastAsia="Times New Roman" w:cstheme="minorHAnsi"/>
          <w:sz w:val="24"/>
          <w:szCs w:val="24"/>
          <w:lang w:eastAsia="it-IT"/>
        </w:rPr>
        <w:t>2. Il motivo è infondato.</w:t>
      </w:r>
    </w:p>
    <w:p w:rsidR="00D218BB" w:rsidRPr="00D218BB" w:rsidRDefault="00D218BB" w:rsidP="00D218BB">
      <w:pPr>
        <w:spacing w:before="100" w:beforeAutospacing="1" w:after="100" w:afterAutospacing="1" w:line="240" w:lineRule="auto"/>
        <w:jc w:val="both"/>
        <w:rPr>
          <w:rFonts w:eastAsia="Times New Roman" w:cstheme="minorHAnsi"/>
          <w:sz w:val="24"/>
          <w:szCs w:val="24"/>
          <w:lang w:eastAsia="it-IT"/>
        </w:rPr>
      </w:pPr>
      <w:r w:rsidRPr="00D218BB">
        <w:rPr>
          <w:rFonts w:eastAsia="Times New Roman" w:cstheme="minorHAnsi"/>
          <w:sz w:val="24"/>
          <w:szCs w:val="24"/>
          <w:lang w:eastAsia="it-IT"/>
        </w:rPr>
        <w:t xml:space="preserve">3. Nel dare continuità alla giurisprudenza di questa Corte, va ribadito che in tema di accertamento delle imposte sui redditi, qualora l'Ufficio determini sinteticamente il reddito complessivo netto in relazione alla spesa per incrementi patrimoniali, la prova documentale contraria ammessa per il contribuente dal </w:t>
      </w:r>
      <w:hyperlink r:id="rId9" w:history="1">
        <w:r w:rsidRPr="00D218BB">
          <w:rPr>
            <w:rFonts w:eastAsia="Times New Roman" w:cstheme="minorHAnsi"/>
            <w:b/>
            <w:bCs/>
            <w:sz w:val="24"/>
            <w:szCs w:val="24"/>
            <w:lang w:eastAsia="it-IT"/>
          </w:rPr>
          <w:t>D.P.R. n. 600 del 1973,</w:t>
        </w:r>
      </w:hyperlink>
      <w:r w:rsidRPr="00D218BB">
        <w:rPr>
          <w:rFonts w:eastAsia="Times New Roman" w:cstheme="minorHAnsi"/>
          <w:sz w:val="24"/>
          <w:szCs w:val="24"/>
          <w:lang w:eastAsia="it-IT"/>
        </w:rPr>
        <w:t xml:space="preserve"> art. </w:t>
      </w:r>
      <w:hyperlink r:id="rId10" w:history="1">
        <w:r w:rsidRPr="00D218BB">
          <w:rPr>
            <w:rFonts w:eastAsia="Times New Roman" w:cstheme="minorHAnsi"/>
            <w:b/>
            <w:bCs/>
            <w:sz w:val="24"/>
            <w:szCs w:val="24"/>
            <w:lang w:eastAsia="it-IT"/>
          </w:rPr>
          <w:t>38, comma 6</w:t>
        </w:r>
      </w:hyperlink>
      <w:r w:rsidRPr="00D218BB">
        <w:rPr>
          <w:rFonts w:eastAsia="Times New Roman" w:cstheme="minorHAnsi"/>
          <w:sz w:val="24"/>
          <w:szCs w:val="24"/>
          <w:lang w:eastAsia="it-IT"/>
        </w:rPr>
        <w:t>, nella versione vigente "</w:t>
      </w:r>
      <w:proofErr w:type="spellStart"/>
      <w:r w:rsidRPr="00D218BB">
        <w:rPr>
          <w:rFonts w:eastAsia="Times New Roman" w:cstheme="minorHAnsi"/>
          <w:sz w:val="24"/>
          <w:szCs w:val="24"/>
          <w:lang w:eastAsia="it-IT"/>
        </w:rPr>
        <w:t>ratione</w:t>
      </w:r>
      <w:proofErr w:type="spellEnd"/>
      <w:r w:rsidRPr="00D218BB">
        <w:rPr>
          <w:rFonts w:eastAsia="Times New Roman" w:cstheme="minorHAnsi"/>
          <w:sz w:val="24"/>
          <w:szCs w:val="24"/>
          <w:lang w:eastAsia="it-IT"/>
        </w:rPr>
        <w:t xml:space="preserve"> </w:t>
      </w:r>
      <w:proofErr w:type="spellStart"/>
      <w:r w:rsidRPr="00D218BB">
        <w:rPr>
          <w:rFonts w:eastAsia="Times New Roman" w:cstheme="minorHAnsi"/>
          <w:sz w:val="24"/>
          <w:szCs w:val="24"/>
          <w:lang w:eastAsia="it-IT"/>
        </w:rPr>
        <w:t>temporis</w:t>
      </w:r>
      <w:proofErr w:type="spellEnd"/>
      <w:r w:rsidRPr="00D218BB">
        <w:rPr>
          <w:rFonts w:eastAsia="Times New Roman" w:cstheme="minorHAnsi"/>
          <w:sz w:val="24"/>
          <w:szCs w:val="24"/>
          <w:lang w:eastAsia="it-IT"/>
        </w:rPr>
        <w:t>", riguarda anche l'entità di tali redditi e la durata del loro possesso, che costituiscono circostanze sintomatiche del fatto che la spesa contestata sia stata sostenuta proprio con redditi esenti o soggetti a ritenuta alla fonte a titolo d'imposta (Cass. n. 25104 del 26/11/2014; con riferimento alla rilevanza del legame familiare v. Cass. n. 1332 del 26/01/2016).</w:t>
      </w:r>
    </w:p>
    <w:p w:rsidR="00D218BB" w:rsidRPr="00D218BB" w:rsidRDefault="00D218BB" w:rsidP="00D218BB">
      <w:pPr>
        <w:spacing w:before="100" w:beforeAutospacing="1" w:after="100" w:afterAutospacing="1" w:line="240" w:lineRule="auto"/>
        <w:jc w:val="both"/>
        <w:rPr>
          <w:rFonts w:eastAsia="Times New Roman" w:cstheme="minorHAnsi"/>
          <w:sz w:val="24"/>
          <w:szCs w:val="24"/>
          <w:lang w:eastAsia="it-IT"/>
        </w:rPr>
      </w:pPr>
      <w:r w:rsidRPr="00D218BB">
        <w:rPr>
          <w:rFonts w:eastAsia="Times New Roman" w:cstheme="minorHAnsi"/>
          <w:sz w:val="24"/>
          <w:szCs w:val="24"/>
          <w:lang w:eastAsia="it-IT"/>
        </w:rPr>
        <w:lastRenderedPageBreak/>
        <w:t>La C.T.R. ha congruamente motivato l'accertamento in fatto della utilizzazione delle somme da parte del B. padre, la cui entità e durata del possesso non è in contestazione, per l'acquisto degli appartamenti effettuato dai figli con denaro dal primo fornito, in base alla prova sintomatica, avvalorata dalla coincidenza temporale, dei rimborsi e disinvestimenti, che risultano documentati.</w:t>
      </w:r>
    </w:p>
    <w:p w:rsidR="00D218BB" w:rsidRPr="00D218BB" w:rsidRDefault="00D218BB" w:rsidP="00D218BB">
      <w:pPr>
        <w:spacing w:before="100" w:beforeAutospacing="1" w:after="100" w:afterAutospacing="1" w:line="240" w:lineRule="auto"/>
        <w:jc w:val="both"/>
        <w:rPr>
          <w:rFonts w:eastAsia="Times New Roman" w:cstheme="minorHAnsi"/>
          <w:sz w:val="24"/>
          <w:szCs w:val="24"/>
          <w:lang w:eastAsia="it-IT"/>
        </w:rPr>
      </w:pPr>
      <w:r w:rsidRPr="00D218BB">
        <w:rPr>
          <w:rFonts w:eastAsia="Times New Roman" w:cstheme="minorHAnsi"/>
          <w:sz w:val="24"/>
          <w:szCs w:val="24"/>
          <w:lang w:eastAsia="it-IT"/>
        </w:rPr>
        <w:t>4. Conclusivamente il ricorso va rigettato.</w:t>
      </w:r>
    </w:p>
    <w:p w:rsidR="00D218BB" w:rsidRPr="00D218BB" w:rsidRDefault="00D218BB" w:rsidP="00D218BB">
      <w:pPr>
        <w:spacing w:before="100" w:beforeAutospacing="1" w:after="100" w:afterAutospacing="1" w:line="240" w:lineRule="auto"/>
        <w:jc w:val="both"/>
        <w:rPr>
          <w:rFonts w:eastAsia="Times New Roman" w:cstheme="minorHAnsi"/>
          <w:sz w:val="24"/>
          <w:szCs w:val="24"/>
          <w:lang w:eastAsia="it-IT"/>
        </w:rPr>
      </w:pPr>
      <w:r w:rsidRPr="00D218BB">
        <w:rPr>
          <w:rFonts w:eastAsia="Times New Roman" w:cstheme="minorHAnsi"/>
          <w:sz w:val="24"/>
          <w:szCs w:val="24"/>
          <w:lang w:eastAsia="it-IT"/>
        </w:rPr>
        <w:t xml:space="preserve">5. Le spese seguono la soccombenza e vengono liquidate come in dispositivo. </w:t>
      </w:r>
      <w:bookmarkStart w:id="3" w:name="dispositivo"/>
      <w:r w:rsidRPr="00D218BB">
        <w:rPr>
          <w:rFonts w:eastAsia="Times New Roman" w:cstheme="minorHAnsi"/>
          <w:sz w:val="24"/>
          <w:szCs w:val="24"/>
          <w:lang w:eastAsia="it-IT"/>
        </w:rPr>
        <w:fldChar w:fldCharType="begin"/>
      </w:r>
      <w:r w:rsidRPr="00D218BB">
        <w:rPr>
          <w:rFonts w:eastAsia="Times New Roman" w:cstheme="minorHAnsi"/>
          <w:sz w:val="24"/>
          <w:szCs w:val="24"/>
          <w:lang w:eastAsia="it-IT"/>
        </w:rPr>
        <w:instrText xml:space="preserve"> HYPERLINK "javascript:LinkReplacer.scroll('dispositivo_up')" </w:instrText>
      </w:r>
      <w:r w:rsidRPr="00D218BB">
        <w:rPr>
          <w:rFonts w:eastAsia="Times New Roman" w:cstheme="minorHAnsi"/>
          <w:sz w:val="24"/>
          <w:szCs w:val="24"/>
          <w:lang w:eastAsia="it-IT"/>
        </w:rPr>
        <w:fldChar w:fldCharType="separate"/>
      </w:r>
    </w:p>
    <w:p w:rsidR="00D218BB" w:rsidRPr="00D218BB" w:rsidRDefault="00D218BB" w:rsidP="00D218BB">
      <w:pPr>
        <w:spacing w:before="800" w:after="100" w:afterAutospacing="1" w:line="240" w:lineRule="auto"/>
        <w:jc w:val="center"/>
        <w:outlineLvl w:val="0"/>
        <w:rPr>
          <w:rFonts w:eastAsia="Times New Roman" w:cstheme="minorHAnsi"/>
          <w:b/>
          <w:bCs/>
          <w:kern w:val="36"/>
          <w:sz w:val="24"/>
          <w:szCs w:val="24"/>
          <w:u w:val="single"/>
          <w:lang w:eastAsia="it-IT"/>
        </w:rPr>
      </w:pPr>
      <w:r w:rsidRPr="00D218BB">
        <w:rPr>
          <w:rFonts w:eastAsia="Times New Roman" w:cstheme="minorHAnsi"/>
          <w:b/>
          <w:bCs/>
          <w:kern w:val="36"/>
          <w:sz w:val="24"/>
          <w:szCs w:val="24"/>
          <w:u w:val="single"/>
          <w:lang w:eastAsia="it-IT"/>
        </w:rPr>
        <w:t>P.Q.M.</w:t>
      </w:r>
    </w:p>
    <w:p w:rsidR="00D218BB" w:rsidRPr="00D218BB" w:rsidRDefault="00D218BB" w:rsidP="00D218BB">
      <w:pPr>
        <w:spacing w:after="0" w:line="240" w:lineRule="auto"/>
        <w:rPr>
          <w:rFonts w:eastAsia="Times New Roman" w:cstheme="minorHAnsi"/>
          <w:sz w:val="24"/>
          <w:szCs w:val="24"/>
          <w:lang w:eastAsia="it-IT"/>
        </w:rPr>
      </w:pPr>
      <w:r w:rsidRPr="00D218BB">
        <w:rPr>
          <w:rFonts w:eastAsia="Times New Roman" w:cstheme="minorHAnsi"/>
          <w:sz w:val="24"/>
          <w:szCs w:val="24"/>
          <w:lang w:eastAsia="it-IT"/>
        </w:rPr>
        <w:fldChar w:fldCharType="end"/>
      </w:r>
      <w:bookmarkEnd w:id="3"/>
      <w:r w:rsidRPr="00D218BB">
        <w:rPr>
          <w:rFonts w:eastAsia="Times New Roman" w:cstheme="minorHAnsi"/>
          <w:sz w:val="24"/>
          <w:szCs w:val="24"/>
          <w:lang w:eastAsia="it-IT"/>
        </w:rPr>
        <w:t>Rigetta il ricorso. Condanna la ricorrente Agenzia delle entrate al pagamento delle spese liquidate in 8.500,00 oltre spese generali liquidate nella misura forfetaria del 15% e accessori di legge.</w:t>
      </w:r>
    </w:p>
    <w:p w:rsidR="00D218BB" w:rsidRPr="00D218BB" w:rsidRDefault="00D218BB" w:rsidP="00D218BB">
      <w:pPr>
        <w:spacing w:before="100" w:beforeAutospacing="1" w:after="100" w:afterAutospacing="1" w:line="240" w:lineRule="auto"/>
        <w:jc w:val="both"/>
        <w:rPr>
          <w:rFonts w:eastAsia="Times New Roman" w:cstheme="minorHAnsi"/>
          <w:sz w:val="24"/>
          <w:szCs w:val="24"/>
          <w:lang w:eastAsia="it-IT"/>
        </w:rPr>
      </w:pPr>
      <w:r w:rsidRPr="00D218BB">
        <w:rPr>
          <w:rFonts w:eastAsia="Times New Roman" w:cstheme="minorHAnsi"/>
          <w:sz w:val="24"/>
          <w:szCs w:val="24"/>
          <w:lang w:eastAsia="it-IT"/>
        </w:rPr>
        <w:t>Così deciso in Roma, il 7 giugno 2017.</w:t>
      </w:r>
    </w:p>
    <w:p w:rsidR="004E6344" w:rsidRPr="00D218BB" w:rsidRDefault="00D218BB" w:rsidP="00D218BB">
      <w:pPr>
        <w:rPr>
          <w:rFonts w:cstheme="minorHAnsi"/>
          <w:sz w:val="24"/>
          <w:szCs w:val="24"/>
        </w:rPr>
      </w:pPr>
      <w:r w:rsidRPr="00D218BB">
        <w:rPr>
          <w:rFonts w:eastAsia="Times New Roman" w:cstheme="minorHAnsi"/>
          <w:sz w:val="24"/>
          <w:szCs w:val="24"/>
          <w:lang w:eastAsia="it-IT"/>
        </w:rPr>
        <w:t>Depositato in Cancelleria il 2 agosto 2017</w:t>
      </w:r>
    </w:p>
    <w:sectPr w:rsidR="004E6344" w:rsidRPr="00D218B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8BB"/>
    <w:rsid w:val="004E6344"/>
    <w:rsid w:val="00901761"/>
    <w:rsid w:val="00A85B45"/>
    <w:rsid w:val="00AE56B2"/>
    <w:rsid w:val="00D218BB"/>
    <w:rsid w:val="00D448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CA3BA"/>
  <w15:chartTrackingRefBased/>
  <w15:docId w15:val="{440537F6-D7A3-4194-A6D4-7F254C1BC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link w:val="Titolo1Carattere"/>
    <w:uiPriority w:val="9"/>
    <w:qFormat/>
    <w:rsid w:val="00D218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218BB"/>
    <w:rPr>
      <w:rFonts w:ascii="Times New Roman" w:eastAsia="Times New Roman" w:hAnsi="Times New Roman" w:cs="Times New Roman"/>
      <w:b/>
      <w:bCs/>
      <w:kern w:val="36"/>
      <w:sz w:val="48"/>
      <w:szCs w:val="48"/>
      <w:lang w:eastAsia="it-IT"/>
    </w:rPr>
  </w:style>
  <w:style w:type="paragraph" w:customStyle="1" w:styleId="sentnormal">
    <w:name w:val="sent_normal"/>
    <w:basedOn w:val="Normale"/>
    <w:rsid w:val="00D218BB"/>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sentcenter">
    <w:name w:val="sent_center"/>
    <w:basedOn w:val="Normale"/>
    <w:rsid w:val="00D218BB"/>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character" w:customStyle="1" w:styleId="sentclassl13">
    <w:name w:val="sent_class_l13"/>
    <w:basedOn w:val="Carpredefinitoparagrafo"/>
    <w:rsid w:val="00D218BB"/>
    <w:rPr>
      <w:b/>
      <w:bCs/>
    </w:rPr>
  </w:style>
  <w:style w:type="character" w:customStyle="1" w:styleId="sentclassl23">
    <w:name w:val="sent_class_l23"/>
    <w:basedOn w:val="Carpredefinitoparagrafo"/>
    <w:rsid w:val="00D21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3641540">
      <w:bodyDiv w:val="1"/>
      <w:marLeft w:val="0"/>
      <w:marRight w:val="0"/>
      <w:marTop w:val="150"/>
      <w:marBottom w:val="0"/>
      <w:divBdr>
        <w:top w:val="none" w:sz="0" w:space="0" w:color="auto"/>
        <w:left w:val="none" w:sz="0" w:space="0" w:color="auto"/>
        <w:bottom w:val="none" w:sz="0" w:space="0" w:color="auto"/>
        <w:right w:val="none" w:sz="0" w:space="0" w:color="auto"/>
      </w:divBdr>
      <w:divsChild>
        <w:div w:id="1588999788">
          <w:marLeft w:val="0"/>
          <w:marRight w:val="0"/>
          <w:marTop w:val="100"/>
          <w:marBottom w:val="100"/>
          <w:divBdr>
            <w:top w:val="none" w:sz="0" w:space="0" w:color="auto"/>
            <w:left w:val="none" w:sz="0" w:space="0" w:color="auto"/>
            <w:bottom w:val="none" w:sz="0" w:space="0" w:color="auto"/>
            <w:right w:val="none" w:sz="0" w:space="0" w:color="auto"/>
          </w:divBdr>
          <w:divsChild>
            <w:div w:id="1438603179">
              <w:marLeft w:val="0"/>
              <w:marRight w:val="0"/>
              <w:marTop w:val="0"/>
              <w:marBottom w:val="0"/>
              <w:divBdr>
                <w:top w:val="none" w:sz="0" w:space="0" w:color="auto"/>
                <w:left w:val="none" w:sz="0" w:space="0" w:color="auto"/>
                <w:bottom w:val="none" w:sz="0" w:space="0" w:color="auto"/>
                <w:right w:val="none" w:sz="0" w:space="0" w:color="auto"/>
              </w:divBdr>
              <w:divsChild>
                <w:div w:id="83309534">
                  <w:marLeft w:val="0"/>
                  <w:marRight w:val="0"/>
                  <w:marTop w:val="150"/>
                  <w:marBottom w:val="0"/>
                  <w:divBdr>
                    <w:top w:val="none" w:sz="0" w:space="0" w:color="auto"/>
                    <w:left w:val="none" w:sz="0" w:space="0" w:color="auto"/>
                    <w:bottom w:val="none" w:sz="0" w:space="0" w:color="auto"/>
                    <w:right w:val="none" w:sz="0" w:space="0" w:color="auto"/>
                  </w:divBdr>
                  <w:divsChild>
                    <w:div w:id="272709656">
                      <w:marLeft w:val="0"/>
                      <w:marRight w:val="0"/>
                      <w:marTop w:val="0"/>
                      <w:marBottom w:val="0"/>
                      <w:divBdr>
                        <w:top w:val="none" w:sz="0" w:space="0" w:color="auto"/>
                        <w:left w:val="none" w:sz="0" w:space="0" w:color="auto"/>
                        <w:bottom w:val="none" w:sz="0" w:space="0" w:color="auto"/>
                        <w:right w:val="none" w:sz="0" w:space="0" w:color="auto"/>
                      </w:divBdr>
                      <w:divsChild>
                        <w:div w:id="144518541">
                          <w:marLeft w:val="0"/>
                          <w:marRight w:val="0"/>
                          <w:marTop w:val="0"/>
                          <w:marBottom w:val="0"/>
                          <w:divBdr>
                            <w:top w:val="none" w:sz="0" w:space="0" w:color="auto"/>
                            <w:left w:val="none" w:sz="0" w:space="0" w:color="auto"/>
                            <w:bottom w:val="none" w:sz="0" w:space="0" w:color="auto"/>
                            <w:right w:val="none" w:sz="0" w:space="0" w:color="auto"/>
                          </w:divBdr>
                          <w:divsChild>
                            <w:div w:id="662127504">
                              <w:marLeft w:val="75"/>
                              <w:marRight w:val="75"/>
                              <w:marTop w:val="75"/>
                              <w:marBottom w:val="75"/>
                              <w:divBdr>
                                <w:top w:val="none" w:sz="0" w:space="0" w:color="auto"/>
                                <w:left w:val="none" w:sz="0" w:space="0" w:color="auto"/>
                                <w:bottom w:val="none" w:sz="0" w:space="0" w:color="auto"/>
                                <w:right w:val="none" w:sz="0" w:space="0" w:color="auto"/>
                              </w:divBdr>
                              <w:divsChild>
                                <w:div w:id="663781110">
                                  <w:marLeft w:val="0"/>
                                  <w:marRight w:val="0"/>
                                  <w:marTop w:val="0"/>
                                  <w:marBottom w:val="0"/>
                                  <w:divBdr>
                                    <w:top w:val="none" w:sz="0" w:space="0" w:color="auto"/>
                                    <w:left w:val="none" w:sz="0" w:space="0" w:color="auto"/>
                                    <w:bottom w:val="none" w:sz="0" w:space="0" w:color="auto"/>
                                    <w:right w:val="none" w:sz="0" w:space="0" w:color="auto"/>
                                  </w:divBdr>
                                </w:div>
                                <w:div w:id="1423990281">
                                  <w:marLeft w:val="0"/>
                                  <w:marRight w:val="0"/>
                                  <w:marTop w:val="0"/>
                                  <w:marBottom w:val="0"/>
                                  <w:divBdr>
                                    <w:top w:val="none" w:sz="0" w:space="0" w:color="auto"/>
                                    <w:left w:val="none" w:sz="0" w:space="0" w:color="auto"/>
                                    <w:bottom w:val="none" w:sz="0" w:space="0" w:color="auto"/>
                                    <w:right w:val="none" w:sz="0" w:space="0" w:color="auto"/>
                                  </w:divBdr>
                                  <w:divsChild>
                                    <w:div w:id="105581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kernel.go('doc',%7bmask:'',id:'I00YLX0000110003ART51',notxt:1%7d)" TargetMode="External"/><Relationship Id="rId3" Type="http://schemas.openxmlformats.org/officeDocument/2006/relationships/webSettings" Target="webSettings.xml"/><Relationship Id="rId7" Type="http://schemas.openxmlformats.org/officeDocument/2006/relationships/hyperlink" Target="javascript:kernel.go('doc',%7bmask:'',id:'I00YLX0000110003ART0',notxt:1%7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kernel.go('show_list',%7bmask:'main',keys:'I00YAC00001364+I00YAC00001328',stack_pos:0,notxt:1%7d)" TargetMode="External"/><Relationship Id="rId11" Type="http://schemas.openxmlformats.org/officeDocument/2006/relationships/fontTable" Target="fontTable.xml"/><Relationship Id="rId5" Type="http://schemas.openxmlformats.org/officeDocument/2006/relationships/hyperlink" Target="javascript:kernel.go('doc',%7bmask:'',id:'I00YLX0000110003ART0',notxt:1%7d)" TargetMode="External"/><Relationship Id="rId10" Type="http://schemas.openxmlformats.org/officeDocument/2006/relationships/hyperlink" Target="javascript:kernel.go('doc',%7bmask:'',id:'I00YLX0000110003ART51',notxt:1%7d)" TargetMode="External"/><Relationship Id="rId4" Type="http://schemas.openxmlformats.org/officeDocument/2006/relationships/hyperlink" Target="javascript:kernel.go('doc',%7bmask:'',id:'I00YLX0000110003ART0',notxt:1%7d)" TargetMode="External"/><Relationship Id="rId9" Type="http://schemas.openxmlformats.org/officeDocument/2006/relationships/hyperlink" Target="javascript:kernel.go('doc',%7bmask:'',id:'I00YLX0000110003ART0',notxt:1%7d)"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914</Words>
  <Characters>5211</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Bianchi</dc:creator>
  <cp:keywords/>
  <dc:description/>
  <cp:lastModifiedBy>Roberto Bianchi</cp:lastModifiedBy>
  <cp:revision>1</cp:revision>
  <dcterms:created xsi:type="dcterms:W3CDTF">2017-09-07T19:51:00Z</dcterms:created>
  <dcterms:modified xsi:type="dcterms:W3CDTF">2017-09-07T20:43:00Z</dcterms:modified>
</cp:coreProperties>
</file>